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spacing w:before="0" w:after="280" w:line="293" w:lineRule="auto"/>
        <w:jc w:val="center"/>
      </w:pPr>
      <w:r>
        <w:rPr>
          <w:rFonts w:ascii="Aptos" w:hAnsi="Aptos"/>
          <w:b/>
          <w:i w:val="0"/>
          <w:color w:val="0C5B46"/>
          <w:sz w:val="22"/>
        </w:rPr>
        <w:t>AKADEMIA ERPOLOGIA</w:t>
      </w:r>
    </w:p>
    <w:p>
      <w:pPr>
        <w:spacing w:before="0" w:after="240" w:line="293" w:lineRule="auto"/>
        <w:jc w:val="center"/>
      </w:pPr>
      <w:r>
        <w:rPr>
          <w:rFonts w:ascii="Aptos" w:hAnsi="Aptos"/>
          <w:b/>
          <w:i w:val="0"/>
          <w:color w:val="071B18"/>
          <w:sz w:val="62"/>
        </w:rPr>
        <w:t>Katalog kursów</w:t>
        <w:br/>
        <w:t>i standard produkcyjny</w:t>
      </w:r>
    </w:p>
    <w:p>
      <w:pPr>
        <w:spacing w:before="0" w:after="520" w:line="293" w:lineRule="auto"/>
        <w:jc w:val="center"/>
      </w:pPr>
      <w:r>
        <w:rPr>
          <w:rFonts w:ascii="Aptos" w:hAnsi="Aptos"/>
          <w:b w:val="0"/>
          <w:i w:val="0"/>
          <w:color w:val="0C5B46"/>
          <w:sz w:val="28"/>
        </w:rPr>
        <w:t>Praktyczna edukacja enova365: operacja, kontrola, dowód i diagnoza</w:t>
      </w:r>
    </w:p>
    <w:tbl>
      <w:tblPr>
        <w:tblW w:type="auto" w:w="0"/>
        <w:jc w:val="center"/>
        <w:tblLayout w:type="fixed"/>
        <w:tblLook w:firstColumn="1" w:firstRow="1" w:lastColumn="0" w:lastRow="0" w:noHBand="0" w:noVBand="1" w:val="04A0"/>
      </w:tblPr>
      <w:tblGrid>
        <w:gridCol w:w="1930"/>
        <w:gridCol w:w="1930"/>
        <w:gridCol w:w="1930"/>
        <w:gridCol w:w="1930"/>
        <w:gridCol w:w="1930"/>
      </w:tblGrid>
      <w:tr>
        <w:trPr>
          <w:tblHeader w:val="true"/>
        </w:trPr>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KURSY</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MODUŁY</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LEKCJE</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LAB</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FILMY AI</w:t>
            </w:r>
          </w:p>
        </w:tc>
      </w:tr>
      <w:tr>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32"/>
              </w:rPr>
              <w:t>14</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32"/>
              </w:rPr>
              <w:t>121</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32"/>
              </w:rPr>
              <w:t>484</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32"/>
              </w:rPr>
              <w:t>121</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32"/>
              </w:rPr>
              <w:t>121</w:t>
            </w:r>
          </w:p>
        </w:tc>
      </w:tr>
    </w:tbl>
    <w:p>
      <w:pPr>
        <w:spacing w:before="520" w:after="60" w:line="293" w:lineRule="auto"/>
        <w:jc w:val="center"/>
      </w:pPr>
      <w:r>
        <w:rPr>
          <w:rFonts w:ascii="Aptos" w:hAnsi="Aptos"/>
          <w:b w:val="0"/>
          <w:i w:val="0"/>
          <w:color w:val="536963"/>
          <w:sz w:val="18"/>
        </w:rPr>
        <w:t>Baseline: enova365 2606.1.2  |  wydanie 1.0  |  2 września 2026</w:t>
      </w:r>
    </w:p>
    <w:tbl>
      <w:tblPr>
        <w:tblW w:type="auto" w:w="0"/>
        <w:jc w:val="center"/>
        <w:tblLayout w:type="fixed"/>
        <w:tblLook w:firstColumn="1" w:firstRow="1" w:lastColumn="0" w:lastRow="0" w:noHBand="0" w:noVBand="1" w:val="04A0"/>
      </w:tblPr>
      <w:tblGrid>
        <w:gridCol w:w="9648"/>
      </w:tblGrid>
      <w:tr>
        <w:tc>
          <w:tcPr>
            <w:tcW w:type="dxa" w:w="9360"/>
            <w:shd w:fill="FFF4D6"/>
            <w:tcMar>
              <w:top w:w="150" w:type="dxa"/>
              <w:start w:w="180" w:type="dxa"/>
              <w:bottom w:w="150" w:type="dxa"/>
              <w:end w:w="180" w:type="dxa"/>
            </w:tcMar>
          </w:tcPr>
          <w:p>
            <w:pPr>
              <w:spacing w:after="80"/>
            </w:pPr>
            <w:r>
              <w:rPr>
                <w:rFonts w:ascii="Aptos" w:hAnsi="Aptos"/>
                <w:b/>
                <w:i w:val="0"/>
                <w:color w:val="0C5B46"/>
                <w:sz w:val="17"/>
              </w:rPr>
              <w:t>STATUS MATERIAŁÓW</w:t>
            </w:r>
          </w:p>
          <w:p>
            <w:pPr>
              <w:spacing w:after="0" w:line="283" w:lineRule="auto"/>
            </w:pPr>
            <w:r>
              <w:rPr>
                <w:rFonts w:ascii="Aptos" w:hAnsi="Aptos"/>
                <w:b w:val="0"/>
                <w:i w:val="0"/>
                <w:color w:val="071B18"/>
                <w:sz w:val="20"/>
              </w:rPr>
              <w:t>Programy, laboratoria, quizy oraz scenariusze filmów AI są gotowe. Kurs HAN-01 ma dodatkowo opublikowany film, e-book, prezentację, arkusz i bazę demo. Pozostałe ścieżki przechodzą do nagrań ekranowych i recenzji wersyjnej.</w:t>
            </w:r>
          </w:p>
        </w:tc>
      </w:tr>
    </w:tbl>
    <w:p>
      <w:pPr>
        <w:spacing w:before="0" w:after="40" w:line="293" w:lineRule="auto"/>
      </w:pPr>
      <w:r>
        <w:rPr>
          <w:rFonts w:ascii="Aptos" w:hAnsi="Aptos"/>
          <w:b w:val="0"/>
          <w:i w:val="0"/>
          <w:color w:val="071B18"/>
          <w:sz w:val="21"/>
        </w:rPr>
      </w:r>
    </w:p>
    <w:p>
      <w:r>
        <w:br w:type="page"/>
      </w:r>
    </w:p>
    <w:p>
      <w:pPr>
        <w:pStyle w:val="Heading1"/>
      </w:pPr>
      <w:r>
        <w:t>Jak działa Akademia</w:t>
      </w:r>
    </w:p>
    <w:p>
      <w:pPr>
        <w:spacing w:before="0" w:after="120" w:line="293" w:lineRule="auto"/>
      </w:pPr>
      <w:r>
        <w:rPr>
          <w:rFonts w:ascii="Aptos" w:hAnsi="Aptos"/>
          <w:b w:val="0"/>
          <w:i w:val="0"/>
          <w:color w:val="071B18"/>
          <w:sz w:val="22"/>
        </w:rPr>
        <w:t>Kurs nie kończy się na pokazaniu formularza. Każda lekcja prowadzi przez warunki wejściowe, operację, wynik, kontrolę i reakcję na wyjątek. Uczestnik musi potrafić nie tylko wykonać czynność, lecz także udowodnić jej skutek i bezpiecznie wycofać zmianę.</w:t>
      </w:r>
    </w:p>
    <w:tbl>
      <w:tblPr>
        <w:tblW w:type="auto" w:w="0"/>
        <w:jc w:val="center"/>
        <w:tblLayout w:type="fixed"/>
        <w:tblLook w:firstColumn="1" w:firstRow="1" w:lastColumn="0" w:lastRow="0" w:noHBand="0" w:noVBand="1" w:val="04A0"/>
      </w:tblPr>
      <w:tblGrid>
        <w:gridCol w:w="3216"/>
        <w:gridCol w:w="3216"/>
        <w:gridCol w:w="3216"/>
      </w:tblGrid>
      <w:tr>
        <w:trPr>
          <w:tblHeader w:val="true"/>
        </w:trPr>
        <w:tc>
          <w:tcPr>
            <w:tcW w:type="dxa" w:w="1800"/>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ETAP</w:t>
            </w:r>
          </w:p>
        </w:tc>
        <w:tc>
          <w:tcPr>
            <w:tcW w:type="dxa" w:w="4680"/>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PYTANIE</w:t>
            </w:r>
          </w:p>
        </w:tc>
        <w:tc>
          <w:tcPr>
            <w:tcW w:type="dxa" w:w="2880"/>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DOWÓD</w:t>
            </w:r>
          </w:p>
        </w:tc>
      </w:tr>
      <w:tr>
        <w:tc>
          <w:tcPr>
            <w:tcW w:type="dxa" w:w="1800"/>
            <w:vAlign w:val="center"/>
            <w:tcMar>
              <w:top w:w="80" w:type="dxa"/>
              <w:start w:w="100" w:type="dxa"/>
              <w:bottom w:w="80" w:type="dxa"/>
              <w:end w:w="100" w:type="dxa"/>
            </w:tcMar>
          </w:tcPr>
          <w:p>
            <w:pPr>
              <w:spacing w:after="0" w:line="259" w:lineRule="auto"/>
            </w:pPr>
            <w:r>
              <w:rPr>
                <w:rFonts w:ascii="Aptos" w:hAnsi="Aptos"/>
                <w:b w:val="0"/>
                <w:i w:val="0"/>
                <w:color w:val="071B18"/>
                <w:sz w:val="16"/>
              </w:rPr>
              <w:t>1. Konfiguracja</w:t>
            </w:r>
          </w:p>
        </w:tc>
        <w:tc>
          <w:tcPr>
            <w:tcW w:type="dxa" w:w="4680"/>
            <w:vAlign w:val="center"/>
            <w:tcMar>
              <w:top w:w="80" w:type="dxa"/>
              <w:start w:w="100" w:type="dxa"/>
              <w:bottom w:w="80" w:type="dxa"/>
              <w:end w:w="100" w:type="dxa"/>
            </w:tcMar>
          </w:tcPr>
          <w:p>
            <w:pPr>
              <w:spacing w:after="0" w:line="259" w:lineRule="auto"/>
            </w:pPr>
            <w:r>
              <w:rPr>
                <w:rFonts w:ascii="Aptos" w:hAnsi="Aptos"/>
                <w:b w:val="0"/>
                <w:i w:val="0"/>
                <w:color w:val="071B18"/>
                <w:sz w:val="16"/>
              </w:rPr>
              <w:t>Jakie dane, prawa i zależności są wymagane?</w:t>
            </w:r>
          </w:p>
        </w:tc>
        <w:tc>
          <w:tcPr>
            <w:tcW w:type="dxa" w:w="2880"/>
            <w:vAlign w:val="center"/>
            <w:tcMar>
              <w:top w:w="80" w:type="dxa"/>
              <w:start w:w="100" w:type="dxa"/>
              <w:bottom w:w="80" w:type="dxa"/>
              <w:end w:w="100" w:type="dxa"/>
            </w:tcMar>
          </w:tcPr>
          <w:p>
            <w:pPr>
              <w:spacing w:after="0" w:line="259" w:lineRule="auto"/>
            </w:pPr>
            <w:r>
              <w:rPr>
                <w:rFonts w:ascii="Aptos" w:hAnsi="Aptos"/>
                <w:b w:val="0"/>
                <w:i w:val="0"/>
                <w:color w:val="071B18"/>
                <w:sz w:val="16"/>
              </w:rPr>
              <w:t>checklista wejścia</w:t>
            </w:r>
          </w:p>
        </w:tc>
      </w:tr>
      <w:tr>
        <w:tc>
          <w:tcPr>
            <w:tcW w:type="dxa" w:w="1800"/>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2. Operacja</w:t>
            </w:r>
          </w:p>
        </w:tc>
        <w:tc>
          <w:tcPr>
            <w:tcW w:type="dxa" w:w="4680"/>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Co dokładnie zapisuje system?</w:t>
            </w:r>
          </w:p>
        </w:tc>
        <w:tc>
          <w:tcPr>
            <w:tcW w:type="dxa" w:w="2880"/>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numer rekordu lub dokumentu</w:t>
            </w:r>
          </w:p>
        </w:tc>
      </w:tr>
      <w:tr>
        <w:tc>
          <w:tcPr>
            <w:tcW w:type="dxa" w:w="1800"/>
            <w:vAlign w:val="center"/>
            <w:tcMar>
              <w:top w:w="80" w:type="dxa"/>
              <w:start w:w="100" w:type="dxa"/>
              <w:bottom w:w="80" w:type="dxa"/>
              <w:end w:w="100" w:type="dxa"/>
            </w:tcMar>
          </w:tcPr>
          <w:p>
            <w:pPr>
              <w:spacing w:after="0" w:line="259" w:lineRule="auto"/>
            </w:pPr>
            <w:r>
              <w:rPr>
                <w:rFonts w:ascii="Aptos" w:hAnsi="Aptos"/>
                <w:b w:val="0"/>
                <w:i w:val="0"/>
                <w:color w:val="071B18"/>
                <w:sz w:val="16"/>
              </w:rPr>
              <w:t>3. Kontrola</w:t>
            </w:r>
          </w:p>
        </w:tc>
        <w:tc>
          <w:tcPr>
            <w:tcW w:type="dxa" w:w="4680"/>
            <w:vAlign w:val="center"/>
            <w:tcMar>
              <w:top w:w="80" w:type="dxa"/>
              <w:start w:w="100" w:type="dxa"/>
              <w:bottom w:w="80" w:type="dxa"/>
              <w:end w:w="100" w:type="dxa"/>
            </w:tcMar>
          </w:tcPr>
          <w:p>
            <w:pPr>
              <w:spacing w:after="0" w:line="259" w:lineRule="auto"/>
            </w:pPr>
            <w:r>
              <w:rPr>
                <w:rFonts w:ascii="Aptos" w:hAnsi="Aptos"/>
                <w:b w:val="0"/>
                <w:i w:val="0"/>
                <w:color w:val="071B18"/>
                <w:sz w:val="16"/>
              </w:rPr>
              <w:t>Po czym poznajemy poprawny wynik?</w:t>
            </w:r>
          </w:p>
        </w:tc>
        <w:tc>
          <w:tcPr>
            <w:tcW w:type="dxa" w:w="2880"/>
            <w:vAlign w:val="center"/>
            <w:tcMar>
              <w:top w:w="80" w:type="dxa"/>
              <w:start w:w="100" w:type="dxa"/>
              <w:bottom w:w="80" w:type="dxa"/>
              <w:end w:w="100" w:type="dxa"/>
            </w:tcMar>
          </w:tcPr>
          <w:p>
            <w:pPr>
              <w:spacing w:after="0" w:line="259" w:lineRule="auto"/>
            </w:pPr>
            <w:r>
              <w:rPr>
                <w:rFonts w:ascii="Aptos" w:hAnsi="Aptos"/>
                <w:b w:val="0"/>
                <w:i w:val="0"/>
                <w:color w:val="071B18"/>
                <w:sz w:val="16"/>
              </w:rPr>
              <w:t>wartość, status, relacja</w:t>
            </w:r>
          </w:p>
        </w:tc>
      </w:tr>
      <w:tr>
        <w:tc>
          <w:tcPr>
            <w:tcW w:type="dxa" w:w="1800"/>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4. Diagnoza</w:t>
            </w:r>
          </w:p>
        </w:tc>
        <w:tc>
          <w:tcPr>
            <w:tcW w:type="dxa" w:w="4680"/>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Jaki jest objaw, przyczyna i bezpieczna naprawa?</w:t>
            </w:r>
          </w:p>
        </w:tc>
        <w:tc>
          <w:tcPr>
            <w:tcW w:type="dxa" w:w="2880"/>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porównanie przed/po</w:t>
            </w:r>
          </w:p>
        </w:tc>
      </w:tr>
      <w:tr>
        <w:tc>
          <w:tcPr>
            <w:tcW w:type="dxa" w:w="1800"/>
            <w:vAlign w:val="center"/>
            <w:tcMar>
              <w:top w:w="80" w:type="dxa"/>
              <w:start w:w="100" w:type="dxa"/>
              <w:bottom w:w="80" w:type="dxa"/>
              <w:end w:w="100" w:type="dxa"/>
            </w:tcMar>
          </w:tcPr>
          <w:p>
            <w:pPr>
              <w:spacing w:after="0" w:line="259" w:lineRule="auto"/>
            </w:pPr>
            <w:r>
              <w:rPr>
                <w:rFonts w:ascii="Aptos" w:hAnsi="Aptos"/>
                <w:b w:val="0"/>
                <w:i w:val="0"/>
                <w:color w:val="071B18"/>
                <w:sz w:val="16"/>
              </w:rPr>
              <w:t>5. Utrwalenie</w:t>
            </w:r>
          </w:p>
        </w:tc>
        <w:tc>
          <w:tcPr>
            <w:tcW w:type="dxa" w:w="4680"/>
            <w:vAlign w:val="center"/>
            <w:tcMar>
              <w:top w:w="80" w:type="dxa"/>
              <w:start w:w="100" w:type="dxa"/>
              <w:bottom w:w="80" w:type="dxa"/>
              <w:end w:w="100" w:type="dxa"/>
            </w:tcMar>
          </w:tcPr>
          <w:p>
            <w:pPr>
              <w:spacing w:after="0" w:line="259" w:lineRule="auto"/>
            </w:pPr>
            <w:r>
              <w:rPr>
                <w:rFonts w:ascii="Aptos" w:hAnsi="Aptos"/>
                <w:b w:val="0"/>
                <w:i w:val="0"/>
                <w:color w:val="071B18"/>
                <w:sz w:val="16"/>
              </w:rPr>
              <w:t>Czy druga osoba odtworzy wynik?</w:t>
            </w:r>
          </w:p>
        </w:tc>
        <w:tc>
          <w:tcPr>
            <w:tcW w:type="dxa" w:w="2880"/>
            <w:vAlign w:val="center"/>
            <w:tcMar>
              <w:top w:w="80" w:type="dxa"/>
              <w:start w:w="100" w:type="dxa"/>
              <w:bottom w:w="80" w:type="dxa"/>
              <w:end w:w="100" w:type="dxa"/>
            </w:tcMar>
          </w:tcPr>
          <w:p>
            <w:pPr>
              <w:spacing w:after="0" w:line="259" w:lineRule="auto"/>
            </w:pPr>
            <w:r>
              <w:rPr>
                <w:rFonts w:ascii="Aptos" w:hAnsi="Aptos"/>
                <w:b w:val="0"/>
                <w:i w:val="0"/>
                <w:color w:val="071B18"/>
                <w:sz w:val="16"/>
              </w:rPr>
              <w:t>pakiet dowodowy</w:t>
            </w:r>
          </w:p>
        </w:tc>
      </w:tr>
    </w:tbl>
    <w:p>
      <w:pPr>
        <w:pStyle w:val="Heading2"/>
      </w:pPr>
      <w:r>
        <w:t>Bramki publikacyjne</w:t>
      </w:r>
    </w:p>
    <w:p>
      <w:pPr>
        <w:pStyle w:val="ListBullet"/>
        <w:spacing w:after="80"/>
      </w:pPr>
      <w:r>
        <w:rPr>
          <w:rFonts w:ascii="Aptos" w:hAnsi="Aptos"/>
          <w:b w:val="0"/>
          <w:i w:val="0"/>
          <w:color w:val="071B18"/>
          <w:sz w:val="21"/>
        </w:rPr>
        <w:t>smoke test na wersji bazowej 2606.1.2 i zapis różnic po aktualizacji</w:t>
      </w:r>
    </w:p>
    <w:p>
      <w:pPr>
        <w:pStyle w:val="ListBullet"/>
        <w:spacing w:after="80"/>
      </w:pPr>
      <w:r>
        <w:rPr>
          <w:rFonts w:ascii="Aptos" w:hAnsi="Aptos"/>
          <w:b w:val="0"/>
          <w:i w:val="0"/>
          <w:color w:val="071B18"/>
          <w:sz w:val="21"/>
        </w:rPr>
        <w:t>recenzja merytoryczna ekranu, wyniku i odpowiedzi do quizu</w:t>
      </w:r>
    </w:p>
    <w:p>
      <w:pPr>
        <w:pStyle w:val="ListBullet"/>
        <w:spacing w:after="80"/>
      </w:pPr>
      <w:r>
        <w:rPr>
          <w:rFonts w:ascii="Aptos" w:hAnsi="Aptos"/>
          <w:b w:val="0"/>
          <w:i w:val="0"/>
          <w:color w:val="071B18"/>
          <w:sz w:val="21"/>
        </w:rPr>
        <w:t>dodatkowa recenzja prawna/podatkowa/płacowa tam, gdzie treść zależy od przepisów</w:t>
      </w:r>
    </w:p>
    <w:p>
      <w:pPr>
        <w:pStyle w:val="ListBullet"/>
        <w:spacing w:after="80"/>
      </w:pPr>
      <w:r>
        <w:rPr>
          <w:rFonts w:ascii="Aptos" w:hAnsi="Aptos"/>
          <w:b w:val="0"/>
          <w:i w:val="0"/>
          <w:color w:val="071B18"/>
          <w:sz w:val="21"/>
        </w:rPr>
        <w:t>napisy PL, transkrypcja i alternatywny opis kluczowych ekranów</w:t>
      </w:r>
    </w:p>
    <w:p>
      <w:pPr>
        <w:pStyle w:val="ListBullet"/>
        <w:spacing w:after="80"/>
      </w:pPr>
      <w:r>
        <w:rPr>
          <w:rFonts w:ascii="Aptos" w:hAnsi="Aptos"/>
          <w:b w:val="0"/>
          <w:i w:val="0"/>
          <w:color w:val="071B18"/>
          <w:sz w:val="21"/>
        </w:rPr>
        <w:t>brak danych osobowych, sekretów, tokenów i danych produkcyjnych</w:t>
      </w:r>
    </w:p>
    <w:p>
      <w:pPr>
        <w:pStyle w:val="ListBullet"/>
        <w:spacing w:after="80"/>
      </w:pPr>
      <w:r>
        <w:rPr>
          <w:rFonts w:ascii="Aptos" w:hAnsi="Aptos"/>
          <w:b w:val="0"/>
          <w:i w:val="0"/>
          <w:color w:val="071B18"/>
          <w:sz w:val="21"/>
        </w:rPr>
        <w:t>laboratorium wyłącznie na bazie demo/testowej z kopią lub snapshotem</w:t>
      </w:r>
    </w:p>
    <w:p>
      <w:r>
        <w:br w:type="page"/>
      </w:r>
    </w:p>
    <w:p>
      <w:pPr>
        <w:pStyle w:val="Heading1"/>
      </w:pPr>
      <w:r>
        <w:t>Portfolio kursów</w:t>
      </w:r>
    </w:p>
    <w:tbl>
      <w:tblPr>
        <w:tblW w:type="auto" w:w="0"/>
        <w:jc w:val="center"/>
        <w:tblLayout w:type="fixed"/>
        <w:tblLook w:firstColumn="1" w:firstRow="1" w:lastColumn="0" w:lastRow="0" w:noHBand="0" w:noVBand="1" w:val="04A0"/>
      </w:tblPr>
      <w:tblGrid>
        <w:gridCol w:w="1608"/>
        <w:gridCol w:w="1608"/>
        <w:gridCol w:w="1608"/>
        <w:gridCol w:w="1608"/>
        <w:gridCol w:w="1608"/>
        <w:gridCol w:w="1608"/>
      </w:tblGrid>
      <w:tr>
        <w:trPr>
          <w:tblHeader w:val="true"/>
        </w:trPr>
        <w:tc>
          <w:tcPr>
            <w:tcW w:type="dxa" w:w="1008"/>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KOD</w:t>
            </w:r>
          </w:p>
        </w:tc>
        <w:tc>
          <w:tcPr>
            <w:tcW w:type="dxa" w:w="36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KURS</w:t>
            </w:r>
          </w:p>
        </w:tc>
        <w:tc>
          <w:tcPr>
            <w:tcW w:type="dxa" w:w="151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TYP</w:t>
            </w:r>
          </w:p>
        </w:tc>
        <w:tc>
          <w:tcPr>
            <w:tcW w:type="dxa" w:w="79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w:t>
            </w:r>
          </w:p>
        </w:tc>
        <w:tc>
          <w:tcPr>
            <w:tcW w:type="dxa" w:w="1080"/>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LEKCJE</w:t>
            </w:r>
          </w:p>
        </w:tc>
        <w:tc>
          <w:tcPr>
            <w:tcW w:type="dxa" w:w="79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LAB</w:t>
            </w:r>
          </w:p>
        </w:tc>
      </w:tr>
      <w:tr>
        <w:tc>
          <w:tcPr>
            <w:tcW w:type="dxa" w:w="1008"/>
            <w:vAlign w:val="center"/>
            <w:tcMar>
              <w:top w:w="80" w:type="dxa"/>
              <w:start w:w="100" w:type="dxa"/>
              <w:bottom w:w="80" w:type="dxa"/>
              <w:end w:w="100" w:type="dxa"/>
            </w:tcMar>
          </w:tcPr>
          <w:p>
            <w:pPr>
              <w:spacing w:after="0" w:line="259" w:lineRule="auto"/>
            </w:pPr>
            <w:r>
              <w:rPr>
                <w:rFonts w:ascii="Aptos" w:hAnsi="Aptos"/>
                <w:b w:val="0"/>
                <w:i w:val="0"/>
                <w:color w:val="071B18"/>
                <w:sz w:val="16"/>
              </w:rPr>
              <w:t>HAN-01</w:t>
            </w:r>
          </w:p>
        </w:tc>
        <w:tc>
          <w:tcPr>
            <w:tcW w:type="dxa" w:w="3672"/>
            <w:vAlign w:val="center"/>
            <w:tcMar>
              <w:top w:w="80" w:type="dxa"/>
              <w:start w:w="100" w:type="dxa"/>
              <w:bottom w:w="80" w:type="dxa"/>
              <w:end w:w="100" w:type="dxa"/>
            </w:tcMar>
          </w:tcPr>
          <w:p>
            <w:pPr>
              <w:spacing w:after="0" w:line="259" w:lineRule="auto"/>
            </w:pPr>
            <w:r>
              <w:rPr>
                <w:rFonts w:ascii="Aptos" w:hAnsi="Aptos"/>
                <w:b w:val="0"/>
                <w:i w:val="0"/>
                <w:color w:val="071B18"/>
                <w:sz w:val="16"/>
              </w:rPr>
              <w:t>Handel i Magazyn</w:t>
            </w:r>
          </w:p>
        </w:tc>
        <w:tc>
          <w:tcPr>
            <w:tcW w:type="dxa" w:w="1512"/>
            <w:vAlign w:val="center"/>
            <w:tcMar>
              <w:top w:w="80" w:type="dxa"/>
              <w:start w:w="100" w:type="dxa"/>
              <w:bottom w:w="80" w:type="dxa"/>
              <w:end w:w="100" w:type="dxa"/>
            </w:tcMar>
          </w:tcPr>
          <w:p>
            <w:pPr>
              <w:spacing w:after="0" w:line="259" w:lineRule="auto"/>
            </w:pPr>
            <w:r>
              <w:rPr>
                <w:rFonts w:ascii="Aptos" w:hAnsi="Aptos"/>
                <w:b w:val="0"/>
                <w:i w:val="0"/>
                <w:color w:val="071B18"/>
                <w:sz w:val="16"/>
              </w:rPr>
              <w:t>funkcjonalny</w:t>
            </w:r>
          </w:p>
        </w:tc>
        <w:tc>
          <w:tcPr>
            <w:tcW w:type="dxa" w:w="792"/>
            <w:vAlign w:val="center"/>
            <w:tcMar>
              <w:top w:w="80" w:type="dxa"/>
              <w:start w:w="100" w:type="dxa"/>
              <w:bottom w:w="80" w:type="dxa"/>
              <w:end w:w="100" w:type="dxa"/>
            </w:tcMar>
          </w:tcPr>
          <w:p>
            <w:pPr>
              <w:spacing w:after="0" w:line="259" w:lineRule="auto"/>
            </w:pPr>
            <w:r>
              <w:rPr>
                <w:rFonts w:ascii="Aptos" w:hAnsi="Aptos"/>
                <w:b w:val="0"/>
                <w:i w:val="0"/>
                <w:color w:val="071B18"/>
                <w:sz w:val="16"/>
              </w:rPr>
              <w:t>8</w:t>
            </w:r>
          </w:p>
        </w:tc>
        <w:tc>
          <w:tcPr>
            <w:tcW w:type="dxa" w:w="1080"/>
            <w:vAlign w:val="center"/>
            <w:tcMar>
              <w:top w:w="80" w:type="dxa"/>
              <w:start w:w="100" w:type="dxa"/>
              <w:bottom w:w="80" w:type="dxa"/>
              <w:end w:w="100" w:type="dxa"/>
            </w:tcMar>
          </w:tcPr>
          <w:p>
            <w:pPr>
              <w:spacing w:after="0" w:line="259" w:lineRule="auto"/>
            </w:pPr>
            <w:r>
              <w:rPr>
                <w:rFonts w:ascii="Aptos" w:hAnsi="Aptos"/>
                <w:b w:val="0"/>
                <w:i w:val="0"/>
                <w:color w:val="071B18"/>
                <w:sz w:val="16"/>
              </w:rPr>
              <w:t>32</w:t>
            </w:r>
          </w:p>
        </w:tc>
        <w:tc>
          <w:tcPr>
            <w:tcW w:type="dxa" w:w="792"/>
            <w:vAlign w:val="center"/>
            <w:tcMar>
              <w:top w:w="80" w:type="dxa"/>
              <w:start w:w="100" w:type="dxa"/>
              <w:bottom w:w="80" w:type="dxa"/>
              <w:end w:w="100" w:type="dxa"/>
            </w:tcMar>
          </w:tcPr>
          <w:p>
            <w:pPr>
              <w:spacing w:after="0" w:line="259" w:lineRule="auto"/>
            </w:pPr>
            <w:r>
              <w:rPr>
                <w:rFonts w:ascii="Aptos" w:hAnsi="Aptos"/>
                <w:b w:val="0"/>
                <w:i w:val="0"/>
                <w:color w:val="071B18"/>
                <w:sz w:val="16"/>
              </w:rPr>
              <w:t>8</w:t>
            </w:r>
          </w:p>
        </w:tc>
      </w:tr>
      <w:tr>
        <w:tc>
          <w:tcPr>
            <w:tcW w:type="dxa" w:w="1008"/>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CRM-01</w:t>
            </w:r>
          </w:p>
        </w:tc>
        <w:tc>
          <w:tcPr>
            <w:tcW w:type="dxa" w:w="367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CRM i sprzedaż</w:t>
            </w:r>
          </w:p>
        </w:tc>
        <w:tc>
          <w:tcPr>
            <w:tcW w:type="dxa" w:w="151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funkcjonalny</w:t>
            </w:r>
          </w:p>
        </w:tc>
        <w:tc>
          <w:tcPr>
            <w:tcW w:type="dxa" w:w="79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8</w:t>
            </w:r>
          </w:p>
        </w:tc>
        <w:tc>
          <w:tcPr>
            <w:tcW w:type="dxa" w:w="1080"/>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32</w:t>
            </w:r>
          </w:p>
        </w:tc>
        <w:tc>
          <w:tcPr>
            <w:tcW w:type="dxa" w:w="79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8</w:t>
            </w:r>
          </w:p>
        </w:tc>
      </w:tr>
      <w:tr>
        <w:tc>
          <w:tcPr>
            <w:tcW w:type="dxa" w:w="1008"/>
            <w:vAlign w:val="center"/>
            <w:tcMar>
              <w:top w:w="80" w:type="dxa"/>
              <w:start w:w="100" w:type="dxa"/>
              <w:bottom w:w="80" w:type="dxa"/>
              <w:end w:w="100" w:type="dxa"/>
            </w:tcMar>
          </w:tcPr>
          <w:p>
            <w:pPr>
              <w:spacing w:after="0" w:line="259" w:lineRule="auto"/>
            </w:pPr>
            <w:r>
              <w:rPr>
                <w:rFonts w:ascii="Aptos" w:hAnsi="Aptos"/>
                <w:b w:val="0"/>
                <w:i w:val="0"/>
                <w:color w:val="071B18"/>
                <w:sz w:val="16"/>
              </w:rPr>
              <w:t>PIB-01</w:t>
            </w:r>
          </w:p>
        </w:tc>
        <w:tc>
          <w:tcPr>
            <w:tcW w:type="dxa" w:w="3672"/>
            <w:vAlign w:val="center"/>
            <w:tcMar>
              <w:top w:w="80" w:type="dxa"/>
              <w:start w:w="100" w:type="dxa"/>
              <w:bottom w:w="80" w:type="dxa"/>
              <w:end w:w="100" w:type="dxa"/>
            </w:tcMar>
          </w:tcPr>
          <w:p>
            <w:pPr>
              <w:spacing w:after="0" w:line="259" w:lineRule="auto"/>
            </w:pPr>
            <w:r>
              <w:rPr>
                <w:rFonts w:ascii="Aptos" w:hAnsi="Aptos"/>
                <w:b w:val="0"/>
                <w:i w:val="0"/>
                <w:color w:val="071B18"/>
                <w:sz w:val="16"/>
              </w:rPr>
              <w:t>Projekty i Budżetowanie</w:t>
            </w:r>
          </w:p>
        </w:tc>
        <w:tc>
          <w:tcPr>
            <w:tcW w:type="dxa" w:w="1512"/>
            <w:vAlign w:val="center"/>
            <w:tcMar>
              <w:top w:w="80" w:type="dxa"/>
              <w:start w:w="100" w:type="dxa"/>
              <w:bottom w:w="80" w:type="dxa"/>
              <w:end w:w="100" w:type="dxa"/>
            </w:tcMar>
          </w:tcPr>
          <w:p>
            <w:pPr>
              <w:spacing w:after="0" w:line="259" w:lineRule="auto"/>
            </w:pPr>
            <w:r>
              <w:rPr>
                <w:rFonts w:ascii="Aptos" w:hAnsi="Aptos"/>
                <w:b w:val="0"/>
                <w:i w:val="0"/>
                <w:color w:val="071B18"/>
                <w:sz w:val="16"/>
              </w:rPr>
              <w:t>funkcjonalny</w:t>
            </w:r>
          </w:p>
        </w:tc>
        <w:tc>
          <w:tcPr>
            <w:tcW w:type="dxa" w:w="792"/>
            <w:vAlign w:val="center"/>
            <w:tcMar>
              <w:top w:w="80" w:type="dxa"/>
              <w:start w:w="100" w:type="dxa"/>
              <w:bottom w:w="80" w:type="dxa"/>
              <w:end w:w="100" w:type="dxa"/>
            </w:tcMar>
          </w:tcPr>
          <w:p>
            <w:pPr>
              <w:spacing w:after="0" w:line="259" w:lineRule="auto"/>
            </w:pPr>
            <w:r>
              <w:rPr>
                <w:rFonts w:ascii="Aptos" w:hAnsi="Aptos"/>
                <w:b w:val="0"/>
                <w:i w:val="0"/>
                <w:color w:val="071B18"/>
                <w:sz w:val="16"/>
              </w:rPr>
              <w:t>8</w:t>
            </w:r>
          </w:p>
        </w:tc>
        <w:tc>
          <w:tcPr>
            <w:tcW w:type="dxa" w:w="1080"/>
            <w:vAlign w:val="center"/>
            <w:tcMar>
              <w:top w:w="80" w:type="dxa"/>
              <w:start w:w="100" w:type="dxa"/>
              <w:bottom w:w="80" w:type="dxa"/>
              <w:end w:w="100" w:type="dxa"/>
            </w:tcMar>
          </w:tcPr>
          <w:p>
            <w:pPr>
              <w:spacing w:after="0" w:line="259" w:lineRule="auto"/>
            </w:pPr>
            <w:r>
              <w:rPr>
                <w:rFonts w:ascii="Aptos" w:hAnsi="Aptos"/>
                <w:b w:val="0"/>
                <w:i w:val="0"/>
                <w:color w:val="071B18"/>
                <w:sz w:val="16"/>
              </w:rPr>
              <w:t>32</w:t>
            </w:r>
          </w:p>
        </w:tc>
        <w:tc>
          <w:tcPr>
            <w:tcW w:type="dxa" w:w="792"/>
            <w:vAlign w:val="center"/>
            <w:tcMar>
              <w:top w:w="80" w:type="dxa"/>
              <w:start w:w="100" w:type="dxa"/>
              <w:bottom w:w="80" w:type="dxa"/>
              <w:end w:w="100" w:type="dxa"/>
            </w:tcMar>
          </w:tcPr>
          <w:p>
            <w:pPr>
              <w:spacing w:after="0" w:line="259" w:lineRule="auto"/>
            </w:pPr>
            <w:r>
              <w:rPr>
                <w:rFonts w:ascii="Aptos" w:hAnsi="Aptos"/>
                <w:b w:val="0"/>
                <w:i w:val="0"/>
                <w:color w:val="071B18"/>
                <w:sz w:val="16"/>
              </w:rPr>
              <w:t>8</w:t>
            </w:r>
          </w:p>
        </w:tc>
      </w:tr>
      <w:tr>
        <w:tc>
          <w:tcPr>
            <w:tcW w:type="dxa" w:w="1008"/>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KIP-01</w:t>
            </w:r>
          </w:p>
        </w:tc>
        <w:tc>
          <w:tcPr>
            <w:tcW w:type="dxa" w:w="367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Kadry i Płace</w:t>
            </w:r>
          </w:p>
        </w:tc>
        <w:tc>
          <w:tcPr>
            <w:tcW w:type="dxa" w:w="151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funkcjonalny</w:t>
            </w:r>
          </w:p>
        </w:tc>
        <w:tc>
          <w:tcPr>
            <w:tcW w:type="dxa" w:w="79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10</w:t>
            </w:r>
          </w:p>
        </w:tc>
        <w:tc>
          <w:tcPr>
            <w:tcW w:type="dxa" w:w="1080"/>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40</w:t>
            </w:r>
          </w:p>
        </w:tc>
        <w:tc>
          <w:tcPr>
            <w:tcW w:type="dxa" w:w="79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10</w:t>
            </w:r>
          </w:p>
        </w:tc>
      </w:tr>
      <w:tr>
        <w:tc>
          <w:tcPr>
            <w:tcW w:type="dxa" w:w="1008"/>
            <w:vAlign w:val="center"/>
            <w:tcMar>
              <w:top w:w="80" w:type="dxa"/>
              <w:start w:w="100" w:type="dxa"/>
              <w:bottom w:w="80" w:type="dxa"/>
              <w:end w:w="100" w:type="dxa"/>
            </w:tcMar>
          </w:tcPr>
          <w:p>
            <w:pPr>
              <w:spacing w:after="0" w:line="259" w:lineRule="auto"/>
            </w:pPr>
            <w:r>
              <w:rPr>
                <w:rFonts w:ascii="Aptos" w:hAnsi="Aptos"/>
                <w:b w:val="0"/>
                <w:i w:val="0"/>
                <w:color w:val="071B18"/>
                <w:sz w:val="16"/>
              </w:rPr>
              <w:t>ZZL-01</w:t>
            </w:r>
          </w:p>
        </w:tc>
        <w:tc>
          <w:tcPr>
            <w:tcW w:type="dxa" w:w="3672"/>
            <w:vAlign w:val="center"/>
            <w:tcMar>
              <w:top w:w="80" w:type="dxa"/>
              <w:start w:w="100" w:type="dxa"/>
              <w:bottom w:w="80" w:type="dxa"/>
              <w:end w:w="100" w:type="dxa"/>
            </w:tcMar>
          </w:tcPr>
          <w:p>
            <w:pPr>
              <w:spacing w:after="0" w:line="259" w:lineRule="auto"/>
            </w:pPr>
            <w:r>
              <w:rPr>
                <w:rFonts w:ascii="Aptos" w:hAnsi="Aptos"/>
                <w:b w:val="0"/>
                <w:i w:val="0"/>
                <w:color w:val="071B18"/>
                <w:sz w:val="16"/>
              </w:rPr>
              <w:t>ZZL i HR</w:t>
            </w:r>
          </w:p>
        </w:tc>
        <w:tc>
          <w:tcPr>
            <w:tcW w:type="dxa" w:w="1512"/>
            <w:vAlign w:val="center"/>
            <w:tcMar>
              <w:top w:w="80" w:type="dxa"/>
              <w:start w:w="100" w:type="dxa"/>
              <w:bottom w:w="80" w:type="dxa"/>
              <w:end w:w="100" w:type="dxa"/>
            </w:tcMar>
          </w:tcPr>
          <w:p>
            <w:pPr>
              <w:spacing w:after="0" w:line="259" w:lineRule="auto"/>
            </w:pPr>
            <w:r>
              <w:rPr>
                <w:rFonts w:ascii="Aptos" w:hAnsi="Aptos"/>
                <w:b w:val="0"/>
                <w:i w:val="0"/>
                <w:color w:val="071B18"/>
                <w:sz w:val="16"/>
              </w:rPr>
              <w:t>funkcjonalny</w:t>
            </w:r>
          </w:p>
        </w:tc>
        <w:tc>
          <w:tcPr>
            <w:tcW w:type="dxa" w:w="792"/>
            <w:vAlign w:val="center"/>
            <w:tcMar>
              <w:top w:w="80" w:type="dxa"/>
              <w:start w:w="100" w:type="dxa"/>
              <w:bottom w:w="80" w:type="dxa"/>
              <w:end w:w="100" w:type="dxa"/>
            </w:tcMar>
          </w:tcPr>
          <w:p>
            <w:pPr>
              <w:spacing w:after="0" w:line="259" w:lineRule="auto"/>
            </w:pPr>
            <w:r>
              <w:rPr>
                <w:rFonts w:ascii="Aptos" w:hAnsi="Aptos"/>
                <w:b w:val="0"/>
                <w:i w:val="0"/>
                <w:color w:val="071B18"/>
                <w:sz w:val="16"/>
              </w:rPr>
              <w:t>8</w:t>
            </w:r>
          </w:p>
        </w:tc>
        <w:tc>
          <w:tcPr>
            <w:tcW w:type="dxa" w:w="1080"/>
            <w:vAlign w:val="center"/>
            <w:tcMar>
              <w:top w:w="80" w:type="dxa"/>
              <w:start w:w="100" w:type="dxa"/>
              <w:bottom w:w="80" w:type="dxa"/>
              <w:end w:w="100" w:type="dxa"/>
            </w:tcMar>
          </w:tcPr>
          <w:p>
            <w:pPr>
              <w:spacing w:after="0" w:line="259" w:lineRule="auto"/>
            </w:pPr>
            <w:r>
              <w:rPr>
                <w:rFonts w:ascii="Aptos" w:hAnsi="Aptos"/>
                <w:b w:val="0"/>
                <w:i w:val="0"/>
                <w:color w:val="071B18"/>
                <w:sz w:val="16"/>
              </w:rPr>
              <w:t>32</w:t>
            </w:r>
          </w:p>
        </w:tc>
        <w:tc>
          <w:tcPr>
            <w:tcW w:type="dxa" w:w="792"/>
            <w:vAlign w:val="center"/>
            <w:tcMar>
              <w:top w:w="80" w:type="dxa"/>
              <w:start w:w="100" w:type="dxa"/>
              <w:bottom w:w="80" w:type="dxa"/>
              <w:end w:w="100" w:type="dxa"/>
            </w:tcMar>
          </w:tcPr>
          <w:p>
            <w:pPr>
              <w:spacing w:after="0" w:line="259" w:lineRule="auto"/>
            </w:pPr>
            <w:r>
              <w:rPr>
                <w:rFonts w:ascii="Aptos" w:hAnsi="Aptos"/>
                <w:b w:val="0"/>
                <w:i w:val="0"/>
                <w:color w:val="071B18"/>
                <w:sz w:val="16"/>
              </w:rPr>
              <w:t>8</w:t>
            </w:r>
          </w:p>
        </w:tc>
      </w:tr>
      <w:tr>
        <w:tc>
          <w:tcPr>
            <w:tcW w:type="dxa" w:w="1008"/>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FK-01</w:t>
            </w:r>
          </w:p>
        </w:tc>
        <w:tc>
          <w:tcPr>
            <w:tcW w:type="dxa" w:w="367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Księgowość i Finanse</w:t>
            </w:r>
          </w:p>
        </w:tc>
        <w:tc>
          <w:tcPr>
            <w:tcW w:type="dxa" w:w="151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funkcjonalny</w:t>
            </w:r>
          </w:p>
        </w:tc>
        <w:tc>
          <w:tcPr>
            <w:tcW w:type="dxa" w:w="79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10</w:t>
            </w:r>
          </w:p>
        </w:tc>
        <w:tc>
          <w:tcPr>
            <w:tcW w:type="dxa" w:w="1080"/>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40</w:t>
            </w:r>
          </w:p>
        </w:tc>
        <w:tc>
          <w:tcPr>
            <w:tcW w:type="dxa" w:w="79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10</w:t>
            </w:r>
          </w:p>
        </w:tc>
      </w:tr>
      <w:tr>
        <w:tc>
          <w:tcPr>
            <w:tcW w:type="dxa" w:w="1008"/>
            <w:vAlign w:val="center"/>
            <w:tcMar>
              <w:top w:w="80" w:type="dxa"/>
              <w:start w:w="100" w:type="dxa"/>
              <w:bottom w:w="80" w:type="dxa"/>
              <w:end w:w="100" w:type="dxa"/>
            </w:tcMar>
          </w:tcPr>
          <w:p>
            <w:pPr>
              <w:spacing w:after="0" w:line="259" w:lineRule="auto"/>
            </w:pPr>
            <w:r>
              <w:rPr>
                <w:rFonts w:ascii="Aptos" w:hAnsi="Aptos"/>
                <w:b w:val="0"/>
                <w:i w:val="0"/>
                <w:color w:val="071B18"/>
                <w:sz w:val="16"/>
              </w:rPr>
              <w:t>ST-01</w:t>
            </w:r>
          </w:p>
        </w:tc>
        <w:tc>
          <w:tcPr>
            <w:tcW w:type="dxa" w:w="3672"/>
            <w:vAlign w:val="center"/>
            <w:tcMar>
              <w:top w:w="80" w:type="dxa"/>
              <w:start w:w="100" w:type="dxa"/>
              <w:bottom w:w="80" w:type="dxa"/>
              <w:end w:w="100" w:type="dxa"/>
            </w:tcMar>
          </w:tcPr>
          <w:p>
            <w:pPr>
              <w:spacing w:after="0" w:line="259" w:lineRule="auto"/>
            </w:pPr>
            <w:r>
              <w:rPr>
                <w:rFonts w:ascii="Aptos" w:hAnsi="Aptos"/>
                <w:b w:val="0"/>
                <w:i w:val="0"/>
                <w:color w:val="071B18"/>
                <w:sz w:val="16"/>
              </w:rPr>
              <w:t>Środki trwałe</w:t>
            </w:r>
          </w:p>
        </w:tc>
        <w:tc>
          <w:tcPr>
            <w:tcW w:type="dxa" w:w="1512"/>
            <w:vAlign w:val="center"/>
            <w:tcMar>
              <w:top w:w="80" w:type="dxa"/>
              <w:start w:w="100" w:type="dxa"/>
              <w:bottom w:w="80" w:type="dxa"/>
              <w:end w:w="100" w:type="dxa"/>
            </w:tcMar>
          </w:tcPr>
          <w:p>
            <w:pPr>
              <w:spacing w:after="0" w:line="259" w:lineRule="auto"/>
            </w:pPr>
            <w:r>
              <w:rPr>
                <w:rFonts w:ascii="Aptos" w:hAnsi="Aptos"/>
                <w:b w:val="0"/>
                <w:i w:val="0"/>
                <w:color w:val="071B18"/>
                <w:sz w:val="16"/>
              </w:rPr>
              <w:t>funkcjonalny</w:t>
            </w:r>
          </w:p>
        </w:tc>
        <w:tc>
          <w:tcPr>
            <w:tcW w:type="dxa" w:w="792"/>
            <w:vAlign w:val="center"/>
            <w:tcMar>
              <w:top w:w="80" w:type="dxa"/>
              <w:start w:w="100" w:type="dxa"/>
              <w:bottom w:w="80" w:type="dxa"/>
              <w:end w:w="100" w:type="dxa"/>
            </w:tcMar>
          </w:tcPr>
          <w:p>
            <w:pPr>
              <w:spacing w:after="0" w:line="259" w:lineRule="auto"/>
            </w:pPr>
            <w:r>
              <w:rPr>
                <w:rFonts w:ascii="Aptos" w:hAnsi="Aptos"/>
                <w:b w:val="0"/>
                <w:i w:val="0"/>
                <w:color w:val="071B18"/>
                <w:sz w:val="16"/>
              </w:rPr>
              <w:t>8</w:t>
            </w:r>
          </w:p>
        </w:tc>
        <w:tc>
          <w:tcPr>
            <w:tcW w:type="dxa" w:w="1080"/>
            <w:vAlign w:val="center"/>
            <w:tcMar>
              <w:top w:w="80" w:type="dxa"/>
              <w:start w:w="100" w:type="dxa"/>
              <w:bottom w:w="80" w:type="dxa"/>
              <w:end w:w="100" w:type="dxa"/>
            </w:tcMar>
          </w:tcPr>
          <w:p>
            <w:pPr>
              <w:spacing w:after="0" w:line="259" w:lineRule="auto"/>
            </w:pPr>
            <w:r>
              <w:rPr>
                <w:rFonts w:ascii="Aptos" w:hAnsi="Aptos"/>
                <w:b w:val="0"/>
                <w:i w:val="0"/>
                <w:color w:val="071B18"/>
                <w:sz w:val="16"/>
              </w:rPr>
              <w:t>32</w:t>
            </w:r>
          </w:p>
        </w:tc>
        <w:tc>
          <w:tcPr>
            <w:tcW w:type="dxa" w:w="792"/>
            <w:vAlign w:val="center"/>
            <w:tcMar>
              <w:top w:w="80" w:type="dxa"/>
              <w:start w:w="100" w:type="dxa"/>
              <w:bottom w:w="80" w:type="dxa"/>
              <w:end w:w="100" w:type="dxa"/>
            </w:tcMar>
          </w:tcPr>
          <w:p>
            <w:pPr>
              <w:spacing w:after="0" w:line="259" w:lineRule="auto"/>
            </w:pPr>
            <w:r>
              <w:rPr>
                <w:rFonts w:ascii="Aptos" w:hAnsi="Aptos"/>
                <w:b w:val="0"/>
                <w:i w:val="0"/>
                <w:color w:val="071B18"/>
                <w:sz w:val="16"/>
              </w:rPr>
              <w:t>8</w:t>
            </w:r>
          </w:p>
        </w:tc>
      </w:tr>
      <w:tr>
        <w:tc>
          <w:tcPr>
            <w:tcW w:type="dxa" w:w="1008"/>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LEA-01</w:t>
            </w:r>
          </w:p>
        </w:tc>
        <w:tc>
          <w:tcPr>
            <w:tcW w:type="dxa" w:w="367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Obsługa leasingów</w:t>
            </w:r>
          </w:p>
        </w:tc>
        <w:tc>
          <w:tcPr>
            <w:tcW w:type="dxa" w:w="151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funkcjonalny</w:t>
            </w:r>
          </w:p>
        </w:tc>
        <w:tc>
          <w:tcPr>
            <w:tcW w:type="dxa" w:w="79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8</w:t>
            </w:r>
          </w:p>
        </w:tc>
        <w:tc>
          <w:tcPr>
            <w:tcW w:type="dxa" w:w="1080"/>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32</w:t>
            </w:r>
          </w:p>
        </w:tc>
        <w:tc>
          <w:tcPr>
            <w:tcW w:type="dxa" w:w="79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8</w:t>
            </w:r>
          </w:p>
        </w:tc>
      </w:tr>
      <w:tr>
        <w:tc>
          <w:tcPr>
            <w:tcW w:type="dxa" w:w="1008"/>
            <w:vAlign w:val="center"/>
            <w:tcMar>
              <w:top w:w="80" w:type="dxa"/>
              <w:start w:w="100" w:type="dxa"/>
              <w:bottom w:w="80" w:type="dxa"/>
              <w:end w:w="100" w:type="dxa"/>
            </w:tcMar>
          </w:tcPr>
          <w:p>
            <w:pPr>
              <w:spacing w:after="0" w:line="259" w:lineRule="auto"/>
            </w:pPr>
            <w:r>
              <w:rPr>
                <w:rFonts w:ascii="Aptos" w:hAnsi="Aptos"/>
                <w:b w:val="0"/>
                <w:i w:val="0"/>
                <w:color w:val="071B18"/>
                <w:sz w:val="16"/>
              </w:rPr>
              <w:t>BR-01</w:t>
            </w:r>
          </w:p>
        </w:tc>
        <w:tc>
          <w:tcPr>
            <w:tcW w:type="dxa" w:w="3672"/>
            <w:vAlign w:val="center"/>
            <w:tcMar>
              <w:top w:w="80" w:type="dxa"/>
              <w:start w:w="100" w:type="dxa"/>
              <w:bottom w:w="80" w:type="dxa"/>
              <w:end w:w="100" w:type="dxa"/>
            </w:tcMar>
          </w:tcPr>
          <w:p>
            <w:pPr>
              <w:spacing w:after="0" w:line="259" w:lineRule="auto"/>
            </w:pPr>
            <w:r>
              <w:rPr>
                <w:rFonts w:ascii="Aptos" w:hAnsi="Aptos"/>
                <w:b w:val="0"/>
                <w:i w:val="0"/>
                <w:color w:val="071B18"/>
                <w:sz w:val="16"/>
              </w:rPr>
              <w:t>enova365 w biurze rachunkowym</w:t>
            </w:r>
          </w:p>
        </w:tc>
        <w:tc>
          <w:tcPr>
            <w:tcW w:type="dxa" w:w="1512"/>
            <w:vAlign w:val="center"/>
            <w:tcMar>
              <w:top w:w="80" w:type="dxa"/>
              <w:start w:w="100" w:type="dxa"/>
              <w:bottom w:w="80" w:type="dxa"/>
              <w:end w:w="100" w:type="dxa"/>
            </w:tcMar>
          </w:tcPr>
          <w:p>
            <w:pPr>
              <w:spacing w:after="0" w:line="259" w:lineRule="auto"/>
            </w:pPr>
            <w:r>
              <w:rPr>
                <w:rFonts w:ascii="Aptos" w:hAnsi="Aptos"/>
                <w:b w:val="0"/>
                <w:i w:val="0"/>
                <w:color w:val="071B18"/>
                <w:sz w:val="16"/>
              </w:rPr>
              <w:t>funkcjonalny</w:t>
            </w:r>
          </w:p>
        </w:tc>
        <w:tc>
          <w:tcPr>
            <w:tcW w:type="dxa" w:w="792"/>
            <w:vAlign w:val="center"/>
            <w:tcMar>
              <w:top w:w="80" w:type="dxa"/>
              <w:start w:w="100" w:type="dxa"/>
              <w:bottom w:w="80" w:type="dxa"/>
              <w:end w:w="100" w:type="dxa"/>
            </w:tcMar>
          </w:tcPr>
          <w:p>
            <w:pPr>
              <w:spacing w:after="0" w:line="259" w:lineRule="auto"/>
            </w:pPr>
            <w:r>
              <w:rPr>
                <w:rFonts w:ascii="Aptos" w:hAnsi="Aptos"/>
                <w:b w:val="0"/>
                <w:i w:val="0"/>
                <w:color w:val="071B18"/>
                <w:sz w:val="16"/>
              </w:rPr>
              <w:t>10</w:t>
            </w:r>
          </w:p>
        </w:tc>
        <w:tc>
          <w:tcPr>
            <w:tcW w:type="dxa" w:w="1080"/>
            <w:vAlign w:val="center"/>
            <w:tcMar>
              <w:top w:w="80" w:type="dxa"/>
              <w:start w:w="100" w:type="dxa"/>
              <w:bottom w:w="80" w:type="dxa"/>
              <w:end w:w="100" w:type="dxa"/>
            </w:tcMar>
          </w:tcPr>
          <w:p>
            <w:pPr>
              <w:spacing w:after="0" w:line="259" w:lineRule="auto"/>
            </w:pPr>
            <w:r>
              <w:rPr>
                <w:rFonts w:ascii="Aptos" w:hAnsi="Aptos"/>
                <w:b w:val="0"/>
                <w:i w:val="0"/>
                <w:color w:val="071B18"/>
                <w:sz w:val="16"/>
              </w:rPr>
              <w:t>40</w:t>
            </w:r>
          </w:p>
        </w:tc>
        <w:tc>
          <w:tcPr>
            <w:tcW w:type="dxa" w:w="792"/>
            <w:vAlign w:val="center"/>
            <w:tcMar>
              <w:top w:w="80" w:type="dxa"/>
              <w:start w:w="100" w:type="dxa"/>
              <w:bottom w:w="80" w:type="dxa"/>
              <w:end w:w="100" w:type="dxa"/>
            </w:tcMar>
          </w:tcPr>
          <w:p>
            <w:pPr>
              <w:spacing w:after="0" w:line="259" w:lineRule="auto"/>
            </w:pPr>
            <w:r>
              <w:rPr>
                <w:rFonts w:ascii="Aptos" w:hAnsi="Aptos"/>
                <w:b w:val="0"/>
                <w:i w:val="0"/>
                <w:color w:val="071B18"/>
                <w:sz w:val="16"/>
              </w:rPr>
              <w:t>10</w:t>
            </w:r>
          </w:p>
        </w:tc>
      </w:tr>
      <w:tr>
        <w:tc>
          <w:tcPr>
            <w:tcW w:type="dxa" w:w="1008"/>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ADM-01</w:t>
            </w:r>
          </w:p>
        </w:tc>
        <w:tc>
          <w:tcPr>
            <w:tcW w:type="dxa" w:w="367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Administrator enova365</w:t>
            </w:r>
          </w:p>
        </w:tc>
        <w:tc>
          <w:tcPr>
            <w:tcW w:type="dxa" w:w="151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techniczny</w:t>
            </w:r>
          </w:p>
        </w:tc>
        <w:tc>
          <w:tcPr>
            <w:tcW w:type="dxa" w:w="79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10</w:t>
            </w:r>
          </w:p>
        </w:tc>
        <w:tc>
          <w:tcPr>
            <w:tcW w:type="dxa" w:w="1080"/>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40</w:t>
            </w:r>
          </w:p>
        </w:tc>
        <w:tc>
          <w:tcPr>
            <w:tcW w:type="dxa" w:w="79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10</w:t>
            </w:r>
          </w:p>
        </w:tc>
      </w:tr>
      <w:tr>
        <w:tc>
          <w:tcPr>
            <w:tcW w:type="dxa" w:w="1008"/>
            <w:vAlign w:val="center"/>
            <w:tcMar>
              <w:top w:w="80" w:type="dxa"/>
              <w:start w:w="100" w:type="dxa"/>
              <w:bottom w:w="80" w:type="dxa"/>
              <w:end w:w="100" w:type="dxa"/>
            </w:tcMar>
          </w:tcPr>
          <w:p>
            <w:pPr>
              <w:spacing w:after="0" w:line="259" w:lineRule="auto"/>
            </w:pPr>
            <w:r>
              <w:rPr>
                <w:rFonts w:ascii="Aptos" w:hAnsi="Aptos"/>
                <w:b w:val="0"/>
                <w:i w:val="0"/>
                <w:color w:val="071B18"/>
                <w:sz w:val="16"/>
              </w:rPr>
              <w:t>SQL-01</w:t>
            </w:r>
          </w:p>
        </w:tc>
        <w:tc>
          <w:tcPr>
            <w:tcW w:type="dxa" w:w="3672"/>
            <w:vAlign w:val="center"/>
            <w:tcMar>
              <w:top w:w="80" w:type="dxa"/>
              <w:start w:w="100" w:type="dxa"/>
              <w:bottom w:w="80" w:type="dxa"/>
              <w:end w:w="100" w:type="dxa"/>
            </w:tcMar>
          </w:tcPr>
          <w:p>
            <w:pPr>
              <w:spacing w:after="0" w:line="259" w:lineRule="auto"/>
            </w:pPr>
            <w:r>
              <w:rPr>
                <w:rFonts w:ascii="Aptos" w:hAnsi="Aptos"/>
                <w:b w:val="0"/>
                <w:i w:val="0"/>
                <w:color w:val="071B18"/>
                <w:sz w:val="16"/>
              </w:rPr>
              <w:t>SQL Server dla enova365</w:t>
            </w:r>
          </w:p>
        </w:tc>
        <w:tc>
          <w:tcPr>
            <w:tcW w:type="dxa" w:w="1512"/>
            <w:vAlign w:val="center"/>
            <w:tcMar>
              <w:top w:w="80" w:type="dxa"/>
              <w:start w:w="100" w:type="dxa"/>
              <w:bottom w:w="80" w:type="dxa"/>
              <w:end w:w="100" w:type="dxa"/>
            </w:tcMar>
          </w:tcPr>
          <w:p>
            <w:pPr>
              <w:spacing w:after="0" w:line="259" w:lineRule="auto"/>
            </w:pPr>
            <w:r>
              <w:rPr>
                <w:rFonts w:ascii="Aptos" w:hAnsi="Aptos"/>
                <w:b w:val="0"/>
                <w:i w:val="0"/>
                <w:color w:val="071B18"/>
                <w:sz w:val="16"/>
              </w:rPr>
              <w:t>techniczny</w:t>
            </w:r>
          </w:p>
        </w:tc>
        <w:tc>
          <w:tcPr>
            <w:tcW w:type="dxa" w:w="792"/>
            <w:vAlign w:val="center"/>
            <w:tcMar>
              <w:top w:w="80" w:type="dxa"/>
              <w:start w:w="100" w:type="dxa"/>
              <w:bottom w:w="80" w:type="dxa"/>
              <w:end w:w="100" w:type="dxa"/>
            </w:tcMar>
          </w:tcPr>
          <w:p>
            <w:pPr>
              <w:spacing w:after="0" w:line="259" w:lineRule="auto"/>
            </w:pPr>
            <w:r>
              <w:rPr>
                <w:rFonts w:ascii="Aptos" w:hAnsi="Aptos"/>
                <w:b w:val="0"/>
                <w:i w:val="0"/>
                <w:color w:val="071B18"/>
                <w:sz w:val="16"/>
              </w:rPr>
              <w:t>8</w:t>
            </w:r>
          </w:p>
        </w:tc>
        <w:tc>
          <w:tcPr>
            <w:tcW w:type="dxa" w:w="1080"/>
            <w:vAlign w:val="center"/>
            <w:tcMar>
              <w:top w:w="80" w:type="dxa"/>
              <w:start w:w="100" w:type="dxa"/>
              <w:bottom w:w="80" w:type="dxa"/>
              <w:end w:w="100" w:type="dxa"/>
            </w:tcMar>
          </w:tcPr>
          <w:p>
            <w:pPr>
              <w:spacing w:after="0" w:line="259" w:lineRule="auto"/>
            </w:pPr>
            <w:r>
              <w:rPr>
                <w:rFonts w:ascii="Aptos" w:hAnsi="Aptos"/>
                <w:b w:val="0"/>
                <w:i w:val="0"/>
                <w:color w:val="071B18"/>
                <w:sz w:val="16"/>
              </w:rPr>
              <w:t>32</w:t>
            </w:r>
          </w:p>
        </w:tc>
        <w:tc>
          <w:tcPr>
            <w:tcW w:type="dxa" w:w="792"/>
            <w:vAlign w:val="center"/>
            <w:tcMar>
              <w:top w:w="80" w:type="dxa"/>
              <w:start w:w="100" w:type="dxa"/>
              <w:bottom w:w="80" w:type="dxa"/>
              <w:end w:w="100" w:type="dxa"/>
            </w:tcMar>
          </w:tcPr>
          <w:p>
            <w:pPr>
              <w:spacing w:after="0" w:line="259" w:lineRule="auto"/>
            </w:pPr>
            <w:r>
              <w:rPr>
                <w:rFonts w:ascii="Aptos" w:hAnsi="Aptos"/>
                <w:b w:val="0"/>
                <w:i w:val="0"/>
                <w:color w:val="071B18"/>
                <w:sz w:val="16"/>
              </w:rPr>
              <w:t>8</w:t>
            </w:r>
          </w:p>
        </w:tc>
      </w:tr>
      <w:tr>
        <w:tc>
          <w:tcPr>
            <w:tcW w:type="dxa" w:w="1008"/>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INF-01</w:t>
            </w:r>
          </w:p>
        </w:tc>
        <w:tc>
          <w:tcPr>
            <w:tcW w:type="dxa" w:w="367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Infrastruktura pod enova365</w:t>
            </w:r>
          </w:p>
        </w:tc>
        <w:tc>
          <w:tcPr>
            <w:tcW w:type="dxa" w:w="151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techniczny</w:t>
            </w:r>
          </w:p>
        </w:tc>
        <w:tc>
          <w:tcPr>
            <w:tcW w:type="dxa" w:w="79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8</w:t>
            </w:r>
          </w:p>
        </w:tc>
        <w:tc>
          <w:tcPr>
            <w:tcW w:type="dxa" w:w="1080"/>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32</w:t>
            </w:r>
          </w:p>
        </w:tc>
        <w:tc>
          <w:tcPr>
            <w:tcW w:type="dxa" w:w="79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8</w:t>
            </w:r>
          </w:p>
        </w:tc>
      </w:tr>
      <w:tr>
        <w:tc>
          <w:tcPr>
            <w:tcW w:type="dxa" w:w="1008"/>
            <w:vAlign w:val="center"/>
            <w:tcMar>
              <w:top w:w="80" w:type="dxa"/>
              <w:start w:w="100" w:type="dxa"/>
              <w:bottom w:w="80" w:type="dxa"/>
              <w:end w:w="100" w:type="dxa"/>
            </w:tcMar>
          </w:tcPr>
          <w:p>
            <w:pPr>
              <w:spacing w:after="0" w:line="259" w:lineRule="auto"/>
            </w:pPr>
            <w:r>
              <w:rPr>
                <w:rFonts w:ascii="Aptos" w:hAnsi="Aptos"/>
                <w:b w:val="0"/>
                <w:i w:val="0"/>
                <w:color w:val="071B18"/>
                <w:sz w:val="16"/>
              </w:rPr>
              <w:t>INT-01</w:t>
            </w:r>
          </w:p>
        </w:tc>
        <w:tc>
          <w:tcPr>
            <w:tcW w:type="dxa" w:w="3672"/>
            <w:vAlign w:val="center"/>
            <w:tcMar>
              <w:top w:w="80" w:type="dxa"/>
              <w:start w:w="100" w:type="dxa"/>
              <w:bottom w:w="80" w:type="dxa"/>
              <w:end w:w="100" w:type="dxa"/>
            </w:tcMar>
          </w:tcPr>
          <w:p>
            <w:pPr>
              <w:spacing w:after="0" w:line="259" w:lineRule="auto"/>
            </w:pPr>
            <w:r>
              <w:rPr>
                <w:rFonts w:ascii="Aptos" w:hAnsi="Aptos"/>
                <w:b w:val="0"/>
                <w:i w:val="0"/>
                <w:color w:val="071B18"/>
                <w:sz w:val="16"/>
              </w:rPr>
              <w:t>Integracje i API enova365</w:t>
            </w:r>
          </w:p>
        </w:tc>
        <w:tc>
          <w:tcPr>
            <w:tcW w:type="dxa" w:w="1512"/>
            <w:vAlign w:val="center"/>
            <w:tcMar>
              <w:top w:w="80" w:type="dxa"/>
              <w:start w:w="100" w:type="dxa"/>
              <w:bottom w:w="80" w:type="dxa"/>
              <w:end w:w="100" w:type="dxa"/>
            </w:tcMar>
          </w:tcPr>
          <w:p>
            <w:pPr>
              <w:spacing w:after="0" w:line="259" w:lineRule="auto"/>
            </w:pPr>
            <w:r>
              <w:rPr>
                <w:rFonts w:ascii="Aptos" w:hAnsi="Aptos"/>
                <w:b w:val="0"/>
                <w:i w:val="0"/>
                <w:color w:val="071B18"/>
                <w:sz w:val="16"/>
              </w:rPr>
              <w:t>techniczny</w:t>
            </w:r>
          </w:p>
        </w:tc>
        <w:tc>
          <w:tcPr>
            <w:tcW w:type="dxa" w:w="792"/>
            <w:vAlign w:val="center"/>
            <w:tcMar>
              <w:top w:w="80" w:type="dxa"/>
              <w:start w:w="100" w:type="dxa"/>
              <w:bottom w:w="80" w:type="dxa"/>
              <w:end w:w="100" w:type="dxa"/>
            </w:tcMar>
          </w:tcPr>
          <w:p>
            <w:pPr>
              <w:spacing w:after="0" w:line="259" w:lineRule="auto"/>
            </w:pPr>
            <w:r>
              <w:rPr>
                <w:rFonts w:ascii="Aptos" w:hAnsi="Aptos"/>
                <w:b w:val="0"/>
                <w:i w:val="0"/>
                <w:color w:val="071B18"/>
                <w:sz w:val="16"/>
              </w:rPr>
              <w:t>8</w:t>
            </w:r>
          </w:p>
        </w:tc>
        <w:tc>
          <w:tcPr>
            <w:tcW w:type="dxa" w:w="1080"/>
            <w:vAlign w:val="center"/>
            <w:tcMar>
              <w:top w:w="80" w:type="dxa"/>
              <w:start w:w="100" w:type="dxa"/>
              <w:bottom w:w="80" w:type="dxa"/>
              <w:end w:w="100" w:type="dxa"/>
            </w:tcMar>
          </w:tcPr>
          <w:p>
            <w:pPr>
              <w:spacing w:after="0" w:line="259" w:lineRule="auto"/>
            </w:pPr>
            <w:r>
              <w:rPr>
                <w:rFonts w:ascii="Aptos" w:hAnsi="Aptos"/>
                <w:b w:val="0"/>
                <w:i w:val="0"/>
                <w:color w:val="071B18"/>
                <w:sz w:val="16"/>
              </w:rPr>
              <w:t>32</w:t>
            </w:r>
          </w:p>
        </w:tc>
        <w:tc>
          <w:tcPr>
            <w:tcW w:type="dxa" w:w="792"/>
            <w:vAlign w:val="center"/>
            <w:tcMar>
              <w:top w:w="80" w:type="dxa"/>
              <w:start w:w="100" w:type="dxa"/>
              <w:bottom w:w="80" w:type="dxa"/>
              <w:end w:w="100" w:type="dxa"/>
            </w:tcMar>
          </w:tcPr>
          <w:p>
            <w:pPr>
              <w:spacing w:after="0" w:line="259" w:lineRule="auto"/>
            </w:pPr>
            <w:r>
              <w:rPr>
                <w:rFonts w:ascii="Aptos" w:hAnsi="Aptos"/>
                <w:b w:val="0"/>
                <w:i w:val="0"/>
                <w:color w:val="071B18"/>
                <w:sz w:val="16"/>
              </w:rPr>
              <w:t>8</w:t>
            </w:r>
          </w:p>
        </w:tc>
      </w:tr>
      <w:tr>
        <w:tc>
          <w:tcPr>
            <w:tcW w:type="dxa" w:w="1008"/>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LOG-01</w:t>
            </w:r>
          </w:p>
        </w:tc>
        <w:tc>
          <w:tcPr>
            <w:tcW w:type="dxa" w:w="367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enova365 LogCenter w praktyce</w:t>
            </w:r>
          </w:p>
        </w:tc>
        <w:tc>
          <w:tcPr>
            <w:tcW w:type="dxa" w:w="151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techniczny</w:t>
            </w:r>
          </w:p>
        </w:tc>
        <w:tc>
          <w:tcPr>
            <w:tcW w:type="dxa" w:w="79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9</w:t>
            </w:r>
          </w:p>
        </w:tc>
        <w:tc>
          <w:tcPr>
            <w:tcW w:type="dxa" w:w="1080"/>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36</w:t>
            </w:r>
          </w:p>
        </w:tc>
        <w:tc>
          <w:tcPr>
            <w:tcW w:type="dxa" w:w="79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9</w:t>
            </w:r>
          </w:p>
        </w:tc>
      </w:tr>
    </w:tbl>
    <w:tbl>
      <w:tblPr>
        <w:tblW w:type="auto" w:w="0"/>
        <w:jc w:val="center"/>
        <w:tblLayout w:type="fixed"/>
        <w:tblLook w:firstColumn="1" w:firstRow="1" w:lastColumn="0" w:lastRow="0" w:noHBand="0" w:noVBand="1" w:val="04A0"/>
      </w:tblPr>
      <w:tblGrid>
        <w:gridCol w:w="9648"/>
      </w:tblGrid>
      <w:tr>
        <w:tc>
          <w:tcPr>
            <w:tcW w:type="dxa" w:w="9360"/>
            <w:shd w:fill="EAF4EF"/>
            <w:tcMar>
              <w:top w:w="150" w:type="dxa"/>
              <w:start w:w="180" w:type="dxa"/>
              <w:bottom w:w="150" w:type="dxa"/>
              <w:end w:w="180" w:type="dxa"/>
            </w:tcMar>
          </w:tcPr>
          <w:p>
            <w:pPr>
              <w:spacing w:after="80"/>
            </w:pPr>
            <w:r>
              <w:rPr>
                <w:rFonts w:ascii="Aptos" w:hAnsi="Aptos"/>
                <w:b/>
                <w:i w:val="0"/>
                <w:color w:val="0C5B46"/>
                <w:sz w:val="17"/>
              </w:rPr>
              <w:t>INTERPRETACJA STATUSU</w:t>
            </w:r>
          </w:p>
          <w:p>
            <w:pPr>
              <w:spacing w:after="0" w:line="283" w:lineRule="auto"/>
            </w:pPr>
            <w:r>
              <w:rPr>
                <w:rFonts w:ascii="Aptos" w:hAnsi="Aptos"/>
                <w:b w:val="0"/>
                <w:i w:val="0"/>
                <w:color w:val="071B18"/>
                <w:sz w:val="20"/>
              </w:rPr>
              <w:t>„Gotowy kurs produkcyjny” oznacza kompletny program, lekcje, laboratoria, quizy i scenariusze filmów. Nagranie wszystkich ekranów wymaga osobnego przejścia po środowisku demo oraz recenzji konkretnej wersji.</w:t>
            </w:r>
          </w:p>
        </w:tc>
      </w:tr>
    </w:tbl>
    <w:p>
      <w:pPr>
        <w:spacing w:before="0" w:after="40" w:line="293" w:lineRule="auto"/>
      </w:pPr>
      <w:r>
        <w:rPr>
          <w:rFonts w:ascii="Aptos" w:hAnsi="Aptos"/>
          <w:b w:val="0"/>
          <w:i w:val="0"/>
          <w:color w:val="071B18"/>
          <w:sz w:val="21"/>
        </w:rPr>
      </w:r>
    </w:p>
    <w:p>
      <w:r>
        <w:br w:type="page"/>
      </w:r>
    </w:p>
    <w:p>
      <w:pPr>
        <w:spacing w:before="0" w:after="80" w:line="293" w:lineRule="auto"/>
      </w:pPr>
      <w:r>
        <w:rPr>
          <w:rFonts w:ascii="Aptos" w:hAnsi="Aptos"/>
          <w:b/>
          <w:i w:val="0"/>
          <w:color w:val="0C5B46"/>
          <w:sz w:val="18"/>
        </w:rPr>
        <w:t>HAN-01  /  FUNKCJONALNY</w:t>
      </w:r>
    </w:p>
    <w:p>
      <w:pPr>
        <w:pStyle w:val="Heading1"/>
      </w:pPr>
      <w:r>
        <w:t>Handel i Magazyn</w:t>
      </w:r>
    </w:p>
    <w:p>
      <w:pPr>
        <w:spacing w:before="0" w:after="200" w:line="293" w:lineRule="auto"/>
      </w:pPr>
      <w:r>
        <w:rPr>
          <w:rFonts w:ascii="Aptos" w:hAnsi="Aptos"/>
          <w:b w:val="0"/>
          <w:i w:val="0"/>
          <w:color w:val="071B18"/>
          <w:sz w:val="22"/>
        </w:rPr>
        <w:t>Samodzielne przeprowadzenie procesu od kartoteki i zamówienia przez WZ i fakturę do należności, kosztu zasobu oraz marży.</w:t>
      </w:r>
    </w:p>
    <w:tbl>
      <w:tblPr>
        <w:tblW w:type="auto" w:w="0"/>
        <w:jc w:val="center"/>
        <w:tblLayout w:type="fixed"/>
        <w:tblLook w:firstColumn="1" w:firstRow="1" w:lastColumn="0" w:lastRow="0" w:noHBand="0" w:noVBand="1" w:val="04A0"/>
      </w:tblPr>
      <w:tblGrid>
        <w:gridCol w:w="1930"/>
        <w:gridCol w:w="1930"/>
        <w:gridCol w:w="1930"/>
        <w:gridCol w:w="1930"/>
        <w:gridCol w:w="1930"/>
      </w:tblGrid>
      <w:tr>
        <w:trPr>
          <w:tblHeader w:val="true"/>
        </w:trPr>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MODUŁY</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LEKCJE</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LAB</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QUIZ</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FILMY AI</w:t>
            </w:r>
          </w:p>
        </w:tc>
      </w:tr>
      <w:tr>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32</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16</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r>
    </w:tbl>
    <w:p>
      <w:pPr>
        <w:pStyle w:val="Heading2"/>
      </w:pPr>
      <w:r>
        <w:t>Dla kogo</w:t>
      </w:r>
    </w:p>
    <w:p>
      <w:pPr>
        <w:spacing w:before="0" w:after="120" w:line="293" w:lineRule="auto"/>
      </w:pPr>
      <w:r>
        <w:rPr>
          <w:rFonts w:ascii="Aptos" w:hAnsi="Aptos"/>
          <w:b w:val="0"/>
          <w:i w:val="0"/>
          <w:color w:val="071B18"/>
          <w:sz w:val="21"/>
        </w:rPr>
        <w:t>sprzedawcy, magazynierzy, księgowość i wdrożeniowcy</w:t>
      </w:r>
    </w:p>
    <w:p>
      <w:pPr>
        <w:pStyle w:val="Heading2"/>
      </w:pPr>
      <w:r>
        <w:t>Program</w:t>
      </w:r>
    </w:p>
    <w:tbl>
      <w:tblPr>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50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w:t>
            </w:r>
          </w:p>
        </w:tc>
        <w:tc>
          <w:tcPr>
            <w:tcW w:type="dxa" w:w="266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w:t>
            </w:r>
          </w:p>
        </w:tc>
        <w:tc>
          <w:tcPr>
            <w:tcW w:type="dxa" w:w="295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REZULTAT</w:t>
            </w:r>
          </w:p>
        </w:tc>
        <w:tc>
          <w:tcPr>
            <w:tcW w:type="dxa" w:w="3240"/>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PUNKT KONTROLNY</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1</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Mapa procesu i bezpieczne środowisko</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Rozróżnienie zamiaru, ruchu magazynowego, sprzedaży i kosztu.</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Łańcuch oferta → ZO → WZ → FV ma kompletne powiązania.</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2</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Towary, usługi i kontrahenci</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Poprawne kartoteki, jednostki, VAT, ceny i warunki handlowe.</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Brak duplikatów i brak wymaganych pól pustych.</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3</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Magazyny, zasoby i dostępność</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Kontrola stanów, rezerwacji, pokrycia i źródeł rozchodu.</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Stan, popyt i dostępność są uzgodnione oddzielnie.</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4</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Sprzedaż od oferty do faktury</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Realizacja pełna i częściowa z zachowaniem relacji dokumentów.</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Ilości i wartości na ZO, WZ i FV są zgodne.</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5</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Zakupy i uzupełnianie zapasu</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Przejście od ZD przez PZ do faktury zakupu.</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Rozbieżność dostawy pozostaje jawna i przypisana.</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6</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Korekty, zwroty i inwentaryzacja</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Odwrócenie skutków bez kasowania historii.</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Każda różnica ma dokument korekty i uzasadnienie.</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7</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Ceny, koszt, marża i narzut</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Interpretacja wyniku według rzeczywistych zasobów.</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Marża wynika z wycenionego rozchodu, nie z założenia.</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8</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KSeF, e-commerce i integracje</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Rozpoznanie granic procesu i punktów wymiany danych.</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Identyfikatory i odpowiedzialność systemów są opisane.</w:t>
            </w:r>
          </w:p>
        </w:tc>
      </w:tr>
    </w:tbl>
    <w:p>
      <w:pPr>
        <w:pStyle w:val="Heading2"/>
      </w:pPr>
      <w:r>
        <w:t>Źródła bazowe</w:t>
      </w:r>
    </w:p>
    <w:p>
      <w:pPr>
        <w:spacing w:before="0" w:after="120" w:line="293" w:lineRule="auto"/>
      </w:pPr>
      <w:r>
        <w:rPr>
          <w:rFonts w:ascii="Aptos" w:hAnsi="Aptos"/>
          <w:b w:val="0"/>
          <w:i w:val="0"/>
          <w:color w:val="536963"/>
          <w:sz w:val="17"/>
        </w:rPr>
        <w:t>ERPologia: istniejący pakiet HAN-01 i baza demo 2606.1.2 • Publiczne demo producenta enova365, dostęp 2026-09-02</w:t>
      </w:r>
    </w:p>
    <w:p>
      <w:pPr>
        <w:spacing w:before="0" w:after="120" w:line="293" w:lineRule="auto"/>
      </w:pPr>
      <w:r>
        <w:rPr>
          <w:rFonts w:ascii="Aptos" w:hAnsi="Aptos"/>
          <w:b/>
          <w:i w:val="0"/>
          <w:color w:val="0C5B46"/>
          <w:sz w:val="17"/>
        </w:rPr>
        <w:t>Recenzja przed publikacją: merytoryczny.</w:t>
      </w:r>
    </w:p>
    <w:p>
      <w:r>
        <w:br w:type="page"/>
      </w:r>
    </w:p>
    <w:p>
      <w:pPr>
        <w:spacing w:before="0" w:after="80" w:line="293" w:lineRule="auto"/>
      </w:pPr>
      <w:r>
        <w:rPr>
          <w:rFonts w:ascii="Aptos" w:hAnsi="Aptos"/>
          <w:b/>
          <w:i w:val="0"/>
          <w:color w:val="0C5B46"/>
          <w:sz w:val="18"/>
        </w:rPr>
        <w:t>CRM-01  /  FUNKCJONALNY</w:t>
      </w:r>
    </w:p>
    <w:p>
      <w:pPr>
        <w:pStyle w:val="Heading1"/>
      </w:pPr>
      <w:r>
        <w:t>CRM i sprzedaż</w:t>
      </w:r>
    </w:p>
    <w:p>
      <w:pPr>
        <w:spacing w:before="0" w:after="200" w:line="293" w:lineRule="auto"/>
      </w:pPr>
      <w:r>
        <w:rPr>
          <w:rFonts w:ascii="Aptos" w:hAnsi="Aptos"/>
          <w:b w:val="0"/>
          <w:i w:val="0"/>
          <w:color w:val="071B18"/>
          <w:sz w:val="22"/>
        </w:rPr>
        <w:t>Prowadzenie klienta 360° od kontaktu i leada przez transakcję, zadania i kampanię do dokumentów handlowych oraz wyniku lejka.</w:t>
      </w:r>
    </w:p>
    <w:tbl>
      <w:tblPr>
        <w:tblW w:type="auto" w:w="0"/>
        <w:jc w:val="center"/>
        <w:tblLayout w:type="fixed"/>
        <w:tblLook w:firstColumn="1" w:firstRow="1" w:lastColumn="0" w:lastRow="0" w:noHBand="0" w:noVBand="1" w:val="04A0"/>
      </w:tblPr>
      <w:tblGrid>
        <w:gridCol w:w="1930"/>
        <w:gridCol w:w="1930"/>
        <w:gridCol w:w="1930"/>
        <w:gridCol w:w="1930"/>
        <w:gridCol w:w="1930"/>
      </w:tblGrid>
      <w:tr>
        <w:trPr>
          <w:tblHeader w:val="true"/>
        </w:trPr>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MODUŁY</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LEKCJE</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LAB</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QUIZ</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FILMY AI</w:t>
            </w:r>
          </w:p>
        </w:tc>
      </w:tr>
      <w:tr>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32</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16</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r>
    </w:tbl>
    <w:p>
      <w:pPr>
        <w:pStyle w:val="Heading2"/>
      </w:pPr>
      <w:r>
        <w:t>Dla kogo</w:t>
      </w:r>
    </w:p>
    <w:p>
      <w:pPr>
        <w:spacing w:before="0" w:after="120" w:line="293" w:lineRule="auto"/>
      </w:pPr>
      <w:r>
        <w:rPr>
          <w:rFonts w:ascii="Aptos" w:hAnsi="Aptos"/>
          <w:b w:val="0"/>
          <w:i w:val="0"/>
          <w:color w:val="071B18"/>
          <w:sz w:val="21"/>
        </w:rPr>
        <w:t>handlowcy, kierownicy sprzedaży, marketing i wdrożeniowcy</w:t>
      </w:r>
    </w:p>
    <w:p>
      <w:pPr>
        <w:pStyle w:val="Heading2"/>
      </w:pPr>
      <w:r>
        <w:t>Program</w:t>
      </w:r>
    </w:p>
    <w:tbl>
      <w:tblPr>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50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w:t>
            </w:r>
          </w:p>
        </w:tc>
        <w:tc>
          <w:tcPr>
            <w:tcW w:type="dxa" w:w="266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w:t>
            </w:r>
          </w:p>
        </w:tc>
        <w:tc>
          <w:tcPr>
            <w:tcW w:type="dxa" w:w="295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REZULTAT</w:t>
            </w:r>
          </w:p>
        </w:tc>
        <w:tc>
          <w:tcPr>
            <w:tcW w:type="dxa" w:w="3240"/>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PUNKT KONTROLNY</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1</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Klient 360° i osoby kontaktowe</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Zbudowanie kompletnej historii relacji.</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Kontrahent, osoba, zgody i aktywności tworzą jeden kontekst.</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2</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Zadania, zdarzenia i kalendarz</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Planowanie pracy zespołu i terminów.</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Każde zadanie ma właściciela, termin i status.</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3</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Leady i kwalifikacja</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Jednolity proces oceny szansy.</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Lead ma źródło, kryteria kwalifikacji i decyzję.</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4</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Transakcje i lejek sprzedaży</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Zarządzanie etapami, wartością i prawdopodobieństwem.</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Lejek ma spójne etapy i mierzalne przejścia.</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5</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Ofertowanie i powiązanie z Handlem</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Przeniesienie ustaleń CRM do dokumentów sprzedaży.</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Oferta zachowuje klienta, wartość i źródło transakcji.</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6</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Kampanie i segmentacja</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Planowanie działań dla grup odbiorców.</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Segment ma kryteria, cel i miernik rezultatu.</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7</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Teczki, załączniki i historia</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Kontrolowane przechowywanie dowodów relacji.</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Dokument jest przypisany do właściwego klienta i sprawy.</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8</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Automatyzacja, BI i higiena danych</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Kontrola jakości lejka i cyklu pracy.</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Raport nie zawiera duplikatów ani szans bez kolejnego kroku.</w:t>
            </w:r>
          </w:p>
        </w:tc>
      </w:tr>
    </w:tbl>
    <w:p>
      <w:pPr>
        <w:pStyle w:val="Heading2"/>
      </w:pPr>
      <w:r>
        <w:t>Źródła bazowe</w:t>
      </w:r>
    </w:p>
    <w:p>
      <w:pPr>
        <w:spacing w:before="0" w:after="120" w:line="293" w:lineRule="auto"/>
      </w:pPr>
      <w:r>
        <w:rPr>
          <w:rFonts w:ascii="Aptos" w:hAnsi="Aptos"/>
          <w:b w:val="0"/>
          <w:i w:val="0"/>
          <w:color w:val="536963"/>
          <w:sz w:val="17"/>
        </w:rPr>
        <w:t>Projekty i Budżetowanie, s. 98–127 • Projekty i Budżetowanie, s. 22–24</w:t>
      </w:r>
    </w:p>
    <w:p>
      <w:pPr>
        <w:spacing w:before="0" w:after="120" w:line="293" w:lineRule="auto"/>
      </w:pPr>
      <w:r>
        <w:rPr>
          <w:rFonts w:ascii="Aptos" w:hAnsi="Aptos"/>
          <w:b/>
          <w:i w:val="0"/>
          <w:color w:val="0C5B46"/>
          <w:sz w:val="17"/>
        </w:rPr>
        <w:t>Recenzja przed publikacją: merytoryczny.</w:t>
      </w:r>
    </w:p>
    <w:p>
      <w:r>
        <w:br w:type="page"/>
      </w:r>
    </w:p>
    <w:p>
      <w:pPr>
        <w:spacing w:before="0" w:after="80" w:line="293" w:lineRule="auto"/>
      </w:pPr>
      <w:r>
        <w:rPr>
          <w:rFonts w:ascii="Aptos" w:hAnsi="Aptos"/>
          <w:b/>
          <w:i w:val="0"/>
          <w:color w:val="0C5B46"/>
          <w:sz w:val="18"/>
        </w:rPr>
        <w:t>PIB-01  /  FUNKCJONALNY</w:t>
      </w:r>
    </w:p>
    <w:p>
      <w:pPr>
        <w:pStyle w:val="Heading1"/>
      </w:pPr>
      <w:r>
        <w:t>Projekty i Budżetowanie</w:t>
      </w:r>
    </w:p>
    <w:p>
      <w:pPr>
        <w:spacing w:before="0" w:after="200" w:line="293" w:lineRule="auto"/>
      </w:pPr>
      <w:r>
        <w:rPr>
          <w:rFonts w:ascii="Aptos" w:hAnsi="Aptos"/>
          <w:b w:val="0"/>
          <w:i w:val="0"/>
          <w:color w:val="071B18"/>
          <w:sz w:val="22"/>
        </w:rPr>
        <w:t>Zbudowanie projektu i zatwierdzonego budżetu, przypisanie realizacji oraz wyjaśnienie odchyleń i rentowności.</w:t>
      </w:r>
    </w:p>
    <w:tbl>
      <w:tblPr>
        <w:tblW w:type="auto" w:w="0"/>
        <w:jc w:val="center"/>
        <w:tblLayout w:type="fixed"/>
        <w:tblLook w:firstColumn="1" w:firstRow="1" w:lastColumn="0" w:lastRow="0" w:noHBand="0" w:noVBand="1" w:val="04A0"/>
      </w:tblPr>
      <w:tblGrid>
        <w:gridCol w:w="1930"/>
        <w:gridCol w:w="1930"/>
        <w:gridCol w:w="1930"/>
        <w:gridCol w:w="1930"/>
        <w:gridCol w:w="1930"/>
      </w:tblGrid>
      <w:tr>
        <w:trPr>
          <w:tblHeader w:val="true"/>
        </w:trPr>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MODUŁY</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LEKCJE</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LAB</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QUIZ</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FILMY AI</w:t>
            </w:r>
          </w:p>
        </w:tc>
      </w:tr>
      <w:tr>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32</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16</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r>
    </w:tbl>
    <w:p>
      <w:pPr>
        <w:pStyle w:val="Heading2"/>
      </w:pPr>
      <w:r>
        <w:t>Dla kogo</w:t>
      </w:r>
    </w:p>
    <w:p>
      <w:pPr>
        <w:spacing w:before="0" w:after="120" w:line="293" w:lineRule="auto"/>
      </w:pPr>
      <w:r>
        <w:rPr>
          <w:rFonts w:ascii="Aptos" w:hAnsi="Aptos"/>
          <w:b w:val="0"/>
          <w:i w:val="0"/>
          <w:color w:val="071B18"/>
          <w:sz w:val="21"/>
        </w:rPr>
        <w:t>kierownicy projektów, controlling, finanse i wdrożeniowcy</w:t>
      </w:r>
    </w:p>
    <w:p>
      <w:pPr>
        <w:pStyle w:val="Heading2"/>
      </w:pPr>
      <w:r>
        <w:t>Program</w:t>
      </w:r>
    </w:p>
    <w:tbl>
      <w:tblPr>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50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w:t>
            </w:r>
          </w:p>
        </w:tc>
        <w:tc>
          <w:tcPr>
            <w:tcW w:type="dxa" w:w="266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w:t>
            </w:r>
          </w:p>
        </w:tc>
        <w:tc>
          <w:tcPr>
            <w:tcW w:type="dxa" w:w="295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REZULTAT</w:t>
            </w:r>
          </w:p>
        </w:tc>
        <w:tc>
          <w:tcPr>
            <w:tcW w:type="dxa" w:w="3240"/>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PUNKT KONTROLNY</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1</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Struktura projektu i odpowiedzialność</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Model etapów, zadań, zespołu i ról.</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Każdy element ma właściciela i mierzalny rezultat.</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2</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Definicje i struktura budżetu</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Budowa kategorii przychodów, kosztów i pozycji.</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Struktura budżetu odpowiada strukturze raportowania.</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3</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Plan, zatwierdzanie i korekty</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Kontrolowany cykl życia wersji planu.</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Korekta nie usuwa historii zatwierdzonego planu.</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4</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Opis analityczny dokumentów</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Przypisywanie realizacji do projektu i budżetu.</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100% właściwych kwot ma pozycję budżetową.</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5</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Koszty, przychody i przedpłaty</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Rejestracja realizacji memoriałowej i przepływów.</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Realizacja wynika z dokumentów, nie z ręcznego raportu.</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6</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Realizacja kasowa i wieloetapowa</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Rozdzielenie wykonania memoriałowego i kasowego.</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Raport pokazuje różnicę między kosztem a zapłatą.</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7</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Uprawnienia i centralizacja</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Bezpieczny dostęp do planów i korekt.</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Role rozdzielają planowanie, zatwierdzanie i kontrolę.</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8</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Odchylenia, BI i rentowność</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Wyjaśnienie plan–realizacja–prognoza.</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Największe odchylenia mają przyczynę i właściciela.</w:t>
            </w:r>
          </w:p>
        </w:tc>
      </w:tr>
    </w:tbl>
    <w:p>
      <w:pPr>
        <w:pStyle w:val="Heading2"/>
      </w:pPr>
      <w:r>
        <w:t>Źródła bazowe</w:t>
      </w:r>
    </w:p>
    <w:p>
      <w:pPr>
        <w:spacing w:before="0" w:after="120" w:line="293" w:lineRule="auto"/>
      </w:pPr>
      <w:r>
        <w:rPr>
          <w:rFonts w:ascii="Aptos" w:hAnsi="Aptos"/>
          <w:b w:val="0"/>
          <w:i w:val="0"/>
          <w:color w:val="536963"/>
          <w:sz w:val="17"/>
        </w:rPr>
        <w:t>Projekty i Budżetowanie, s. 4–24 • Projekty i Budżetowanie, s. 78 • Projekty i Budżetowanie, s. 87–98</w:t>
      </w:r>
    </w:p>
    <w:p>
      <w:pPr>
        <w:spacing w:before="0" w:after="120" w:line="293" w:lineRule="auto"/>
      </w:pPr>
      <w:r>
        <w:rPr>
          <w:rFonts w:ascii="Aptos" w:hAnsi="Aptos"/>
          <w:b/>
          <w:i w:val="0"/>
          <w:color w:val="0C5B46"/>
          <w:sz w:val="17"/>
        </w:rPr>
        <w:t>Recenzja przed publikacją: merytoryczny.</w:t>
      </w:r>
    </w:p>
    <w:p>
      <w:r>
        <w:br w:type="page"/>
      </w:r>
    </w:p>
    <w:p>
      <w:pPr>
        <w:spacing w:before="0" w:after="80" w:line="293" w:lineRule="auto"/>
      </w:pPr>
      <w:r>
        <w:rPr>
          <w:rFonts w:ascii="Aptos" w:hAnsi="Aptos"/>
          <w:b/>
          <w:i w:val="0"/>
          <w:color w:val="0C5B46"/>
          <w:sz w:val="18"/>
        </w:rPr>
        <w:t>KIP-01  /  FUNKCJONALNY</w:t>
      </w:r>
    </w:p>
    <w:p>
      <w:pPr>
        <w:pStyle w:val="Heading1"/>
      </w:pPr>
      <w:r>
        <w:t>Kadry i Płace</w:t>
      </w:r>
    </w:p>
    <w:p>
      <w:pPr>
        <w:spacing w:before="0" w:after="200" w:line="293" w:lineRule="auto"/>
      </w:pPr>
      <w:r>
        <w:rPr>
          <w:rFonts w:ascii="Aptos" w:hAnsi="Aptos"/>
          <w:b w:val="0"/>
          <w:i w:val="0"/>
          <w:color w:val="071B18"/>
          <w:sz w:val="22"/>
        </w:rPr>
        <w:t>Obsługa cyklu zatrudnienia, czasu pracy, nieobecności i naliczeń z kontrolą ZUS, PIT, rozrachunków i dekretacji.</w:t>
      </w:r>
    </w:p>
    <w:tbl>
      <w:tblPr>
        <w:tblW w:type="auto" w:w="0"/>
        <w:jc w:val="center"/>
        <w:tblLayout w:type="fixed"/>
        <w:tblLook w:firstColumn="1" w:firstRow="1" w:lastColumn="0" w:lastRow="0" w:noHBand="0" w:noVBand="1" w:val="04A0"/>
      </w:tblPr>
      <w:tblGrid>
        <w:gridCol w:w="1930"/>
        <w:gridCol w:w="1930"/>
        <w:gridCol w:w="1930"/>
        <w:gridCol w:w="1930"/>
        <w:gridCol w:w="1930"/>
      </w:tblGrid>
      <w:tr>
        <w:trPr>
          <w:tblHeader w:val="true"/>
        </w:trPr>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MODUŁY</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LEKCJE</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LAB</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QUIZ</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FILMY AI</w:t>
            </w:r>
          </w:p>
        </w:tc>
      </w:tr>
      <w:tr>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10</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40</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10</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20</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10</w:t>
            </w:r>
          </w:p>
        </w:tc>
      </w:tr>
    </w:tbl>
    <w:p>
      <w:pPr>
        <w:pStyle w:val="Heading2"/>
      </w:pPr>
      <w:r>
        <w:t>Dla kogo</w:t>
      </w:r>
    </w:p>
    <w:p>
      <w:pPr>
        <w:spacing w:before="0" w:after="120" w:line="293" w:lineRule="auto"/>
      </w:pPr>
      <w:r>
        <w:rPr>
          <w:rFonts w:ascii="Aptos" w:hAnsi="Aptos"/>
          <w:b w:val="0"/>
          <w:i w:val="0"/>
          <w:color w:val="071B18"/>
          <w:sz w:val="21"/>
        </w:rPr>
        <w:t>działy kadr i płac, HR, księgowość oraz wdrożeniowcy</w:t>
      </w:r>
    </w:p>
    <w:p>
      <w:pPr>
        <w:pStyle w:val="Heading2"/>
      </w:pPr>
      <w:r>
        <w:t>Program</w:t>
      </w:r>
    </w:p>
    <w:tbl>
      <w:tblPr>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50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w:t>
            </w:r>
          </w:p>
        </w:tc>
        <w:tc>
          <w:tcPr>
            <w:tcW w:type="dxa" w:w="266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w:t>
            </w:r>
          </w:p>
        </w:tc>
        <w:tc>
          <w:tcPr>
            <w:tcW w:type="dxa" w:w="295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REZULTAT</w:t>
            </w:r>
          </w:p>
        </w:tc>
        <w:tc>
          <w:tcPr>
            <w:tcW w:type="dxa" w:w="3240"/>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PUNKT KONTROLNY</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1</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Konfiguracja i kartoteka pracownika</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Komplet danych kadrowych, podatkowych i ubezpieczeniowych.</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Kartoteka przechodzi checklistę kompletności.</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2</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Zatrudnienie i historia zmian</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Umowa, etat, warunki i dokumentacja zmian.</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Każda zmiana ma datę obowiązywania i dokument.</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3</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Umowy cywilnoprawne</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Rejestracja umów i parametrów rozliczenia.</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Tytuł ubezpieczenia i opodatkowanie są zweryfikowane.</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4</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Kalendarze, czas pracy i RCP</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Plan i wykonanie czasu pracy.</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Norma, harmonogram i zapis RCP są uzgodnione.</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5</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Nieobecności i limity</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Obsługa urlopów, chorób i wniosków.</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Limit i podstawa nieobecności są udokumentowane.</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6</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Elementy i algorytmy płacowe</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Rozpoznanie składników i podstaw naliczenia.</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Składnik ma opis, okres i test przykładowy.</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7</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Listy płac i naliczenia</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Kontrolowany przebieg od listy do wypłaty.</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Brutto, składki, podatek i netto są uzgodnione.</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8</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Korekty i przypadki szczególne</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Bezpieczna korekta wypłaty i rozliczeń.</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Korekta ma przyczynę, zakres i wynik porównawczy.</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9</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ZUS, PIT, PFRON i PPK</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Przygotowanie deklaracji i plików rozliczeniowych.</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Sumy deklaracji zgadzają się z listami płac.</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10</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Pulpity HR i kontrola okresu</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Samoobsługa, akceptacje i zamknięcie list.</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Nie ma wniosków i naliczeń bez statusu końcowego.</w:t>
            </w:r>
          </w:p>
        </w:tc>
      </w:tr>
    </w:tbl>
    <w:p>
      <w:pPr>
        <w:pStyle w:val="Heading2"/>
      </w:pPr>
      <w:r>
        <w:t>Źródła bazowe</w:t>
      </w:r>
    </w:p>
    <w:p>
      <w:pPr>
        <w:spacing w:before="0" w:after="120" w:line="293" w:lineRule="auto"/>
      </w:pPr>
      <w:r>
        <w:rPr>
          <w:rFonts w:ascii="Aptos" w:hAnsi="Aptos"/>
          <w:b w:val="0"/>
          <w:i w:val="0"/>
          <w:color w:val="536963"/>
          <w:sz w:val="17"/>
        </w:rPr>
        <w:t>Kadry Płace i HR, s. 19–369 • Kadry Płace i HR, s. 480–504 • Kadry Płace i HR, s. 1119–1138 • Pulpity HR wdrożeniowa, s. 1–6</w:t>
      </w:r>
    </w:p>
    <w:p>
      <w:pPr>
        <w:spacing w:before="0" w:after="120" w:line="293" w:lineRule="auto"/>
      </w:pPr>
      <w:r>
        <w:rPr>
          <w:rFonts w:ascii="Aptos" w:hAnsi="Aptos"/>
          <w:b/>
          <w:i w:val="0"/>
          <w:color w:val="0C5B46"/>
          <w:sz w:val="17"/>
        </w:rPr>
        <w:t>Recenzja przed publikacją: merytoryczny + prawny/płacowy przed publikacją.</w:t>
      </w:r>
    </w:p>
    <w:p>
      <w:r>
        <w:br w:type="page"/>
      </w:r>
    </w:p>
    <w:p>
      <w:pPr>
        <w:spacing w:before="0" w:after="80" w:line="293" w:lineRule="auto"/>
      </w:pPr>
      <w:r>
        <w:rPr>
          <w:rFonts w:ascii="Aptos" w:hAnsi="Aptos"/>
          <w:b/>
          <w:i w:val="0"/>
          <w:color w:val="0C5B46"/>
          <w:sz w:val="18"/>
        </w:rPr>
        <w:t>ZZL-01  /  FUNKCJONALNY</w:t>
      </w:r>
    </w:p>
    <w:p>
      <w:pPr>
        <w:pStyle w:val="Heading1"/>
      </w:pPr>
      <w:r>
        <w:t>ZZL i HR</w:t>
      </w:r>
    </w:p>
    <w:p>
      <w:pPr>
        <w:spacing w:before="0" w:after="200" w:line="293" w:lineRule="auto"/>
      </w:pPr>
      <w:r>
        <w:rPr>
          <w:rFonts w:ascii="Aptos" w:hAnsi="Aptos"/>
          <w:b w:val="0"/>
          <w:i w:val="0"/>
          <w:color w:val="071B18"/>
          <w:sz w:val="22"/>
        </w:rPr>
        <w:t>Prowadzenie rekrutacji, onboardingu, kompetencji, szkoleń, ocen i analityki HR w kontrolowanym cyklu danych.</w:t>
      </w:r>
    </w:p>
    <w:tbl>
      <w:tblPr>
        <w:tblW w:type="auto" w:w="0"/>
        <w:jc w:val="center"/>
        <w:tblLayout w:type="fixed"/>
        <w:tblLook w:firstColumn="1" w:firstRow="1" w:lastColumn="0" w:lastRow="0" w:noHBand="0" w:noVBand="1" w:val="04A0"/>
      </w:tblPr>
      <w:tblGrid>
        <w:gridCol w:w="1930"/>
        <w:gridCol w:w="1930"/>
        <w:gridCol w:w="1930"/>
        <w:gridCol w:w="1930"/>
        <w:gridCol w:w="1930"/>
      </w:tblGrid>
      <w:tr>
        <w:trPr>
          <w:tblHeader w:val="true"/>
        </w:trPr>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MODUŁY</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LEKCJE</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LAB</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QUIZ</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FILMY AI</w:t>
            </w:r>
          </w:p>
        </w:tc>
      </w:tr>
      <w:tr>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32</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16</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r>
    </w:tbl>
    <w:p>
      <w:pPr>
        <w:pStyle w:val="Heading2"/>
      </w:pPr>
      <w:r>
        <w:t>Dla kogo</w:t>
      </w:r>
    </w:p>
    <w:p>
      <w:pPr>
        <w:spacing w:before="0" w:after="120" w:line="293" w:lineRule="auto"/>
      </w:pPr>
      <w:r>
        <w:rPr>
          <w:rFonts w:ascii="Aptos" w:hAnsi="Aptos"/>
          <w:b w:val="0"/>
          <w:i w:val="0"/>
          <w:color w:val="071B18"/>
          <w:sz w:val="21"/>
        </w:rPr>
        <w:t>HR Business Partnerzy, menedżerowie, rekruterzy i administratorzy HR</w:t>
      </w:r>
    </w:p>
    <w:p>
      <w:pPr>
        <w:pStyle w:val="Heading2"/>
      </w:pPr>
      <w:r>
        <w:t>Program</w:t>
      </w:r>
    </w:p>
    <w:tbl>
      <w:tblPr>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50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w:t>
            </w:r>
          </w:p>
        </w:tc>
        <w:tc>
          <w:tcPr>
            <w:tcW w:type="dxa" w:w="266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w:t>
            </w:r>
          </w:p>
        </w:tc>
        <w:tc>
          <w:tcPr>
            <w:tcW w:type="dxa" w:w="295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REZULTAT</w:t>
            </w:r>
          </w:p>
        </w:tc>
        <w:tc>
          <w:tcPr>
            <w:tcW w:type="dxa" w:w="3240"/>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PUNKT KONTROLNY</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1</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Struktura organizacyjna i stanowiska</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Powiązanie ludzi, ról i stanowisk.</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Stanowiska mają wymagania i przypisane osoby.</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2</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Rekrutacja i wakaty</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Proces od zapotrzebowania do decyzji.</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Każda aplikacja ma etap, właściciela i zgodę.</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3</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Onboarding i dokumentacja</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Plan wdrożenia pracownika.</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Zadania startowe są przypisane i zakończone.</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4</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Kompetencje i ścieżki rozwoju</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Ocena luk i plan rozwoju.</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Luka kompetencyjna ma działanie rozwojowe.</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5</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Szkolenia, BHP i uprawnienia</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Terminy, ważność i potwierdzenia.</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Brak przeterminowanych obowiązkowych uprawnień.</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6</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Oceny, cele i informacja zwrotna</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Cykl oceny okresowej.</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Ocena ma kryteria, wynik i plan działań.</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7</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Offboarding i ochrona danych</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Kontrolowane zakończenie relacji.</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Dostępy i dane mają potwierdzony status.</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8</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Raporty HR i jakość danych</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Wskaźniki zatrudnienia, rotacji i rozwoju.</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Raport ma zdefiniowane źródło i okres.</w:t>
            </w:r>
          </w:p>
        </w:tc>
      </w:tr>
    </w:tbl>
    <w:p>
      <w:pPr>
        <w:pStyle w:val="Heading2"/>
      </w:pPr>
      <w:r>
        <w:t>Źródła bazowe</w:t>
      </w:r>
    </w:p>
    <w:p>
      <w:pPr>
        <w:spacing w:before="0" w:after="120" w:line="293" w:lineRule="auto"/>
      </w:pPr>
      <w:r>
        <w:rPr>
          <w:rFonts w:ascii="Aptos" w:hAnsi="Aptos"/>
          <w:b w:val="0"/>
          <w:i w:val="0"/>
          <w:color w:val="536963"/>
          <w:sz w:val="17"/>
        </w:rPr>
        <w:t>Kadry Płace i HR, s. 98–106 • Kadry Płace i HR, s. 542–554 • Kadry Płace i HR, s. 1835–1959</w:t>
      </w:r>
    </w:p>
    <w:p>
      <w:pPr>
        <w:spacing w:before="0" w:after="120" w:line="293" w:lineRule="auto"/>
      </w:pPr>
      <w:r>
        <w:rPr>
          <w:rFonts w:ascii="Aptos" w:hAnsi="Aptos"/>
          <w:b/>
          <w:i w:val="0"/>
          <w:color w:val="0C5B46"/>
          <w:sz w:val="17"/>
        </w:rPr>
        <w:t>Recenzja przed publikacją: merytoryczny + HR/RODO przed publikacją.</w:t>
      </w:r>
    </w:p>
    <w:p>
      <w:r>
        <w:br w:type="page"/>
      </w:r>
    </w:p>
    <w:p>
      <w:pPr>
        <w:spacing w:before="0" w:after="80" w:line="293" w:lineRule="auto"/>
      </w:pPr>
      <w:r>
        <w:rPr>
          <w:rFonts w:ascii="Aptos" w:hAnsi="Aptos"/>
          <w:b/>
          <w:i w:val="0"/>
          <w:color w:val="0C5B46"/>
          <w:sz w:val="18"/>
        </w:rPr>
        <w:t>FK-01  /  FUNKCJONALNY</w:t>
      </w:r>
    </w:p>
    <w:p>
      <w:pPr>
        <w:pStyle w:val="Heading1"/>
      </w:pPr>
      <w:r>
        <w:t>Księgowość i Finanse</w:t>
      </w:r>
    </w:p>
    <w:p>
      <w:pPr>
        <w:spacing w:before="0" w:after="200" w:line="293" w:lineRule="auto"/>
      </w:pPr>
      <w:r>
        <w:rPr>
          <w:rFonts w:ascii="Aptos" w:hAnsi="Aptos"/>
          <w:b w:val="0"/>
          <w:i w:val="0"/>
          <w:color w:val="071B18"/>
          <w:sz w:val="22"/>
        </w:rPr>
        <w:t>Przejście od konfiguracji i dokumentu źródłowego przez VAT, dekret, rozrachunek i bank do kontrolowanego zamknięcia okresu.</w:t>
      </w:r>
    </w:p>
    <w:tbl>
      <w:tblPr>
        <w:tblW w:type="auto" w:w="0"/>
        <w:jc w:val="center"/>
        <w:tblLayout w:type="fixed"/>
        <w:tblLook w:firstColumn="1" w:firstRow="1" w:lastColumn="0" w:lastRow="0" w:noHBand="0" w:noVBand="1" w:val="04A0"/>
      </w:tblPr>
      <w:tblGrid>
        <w:gridCol w:w="1930"/>
        <w:gridCol w:w="1930"/>
        <w:gridCol w:w="1930"/>
        <w:gridCol w:w="1930"/>
        <w:gridCol w:w="1930"/>
      </w:tblGrid>
      <w:tr>
        <w:trPr>
          <w:tblHeader w:val="true"/>
        </w:trPr>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MODUŁY</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LEKCJE</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LAB</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QUIZ</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FILMY AI</w:t>
            </w:r>
          </w:p>
        </w:tc>
      </w:tr>
      <w:tr>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10</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40</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10</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20</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10</w:t>
            </w:r>
          </w:p>
        </w:tc>
      </w:tr>
    </w:tbl>
    <w:p>
      <w:pPr>
        <w:pStyle w:val="Heading2"/>
      </w:pPr>
      <w:r>
        <w:t>Dla kogo</w:t>
      </w:r>
    </w:p>
    <w:p>
      <w:pPr>
        <w:spacing w:before="0" w:after="120" w:line="293" w:lineRule="auto"/>
      </w:pPr>
      <w:r>
        <w:rPr>
          <w:rFonts w:ascii="Aptos" w:hAnsi="Aptos"/>
          <w:b w:val="0"/>
          <w:i w:val="0"/>
          <w:color w:val="071B18"/>
          <w:sz w:val="21"/>
        </w:rPr>
        <w:t>księgowi, główni księgowi, kontrolerzy i wdrożeniowcy</w:t>
      </w:r>
    </w:p>
    <w:p>
      <w:pPr>
        <w:pStyle w:val="Heading2"/>
      </w:pPr>
      <w:r>
        <w:t>Program</w:t>
      </w:r>
    </w:p>
    <w:tbl>
      <w:tblPr>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50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w:t>
            </w:r>
          </w:p>
        </w:tc>
        <w:tc>
          <w:tcPr>
            <w:tcW w:type="dxa" w:w="266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w:t>
            </w:r>
          </w:p>
        </w:tc>
        <w:tc>
          <w:tcPr>
            <w:tcW w:type="dxa" w:w="295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REZULTAT</w:t>
            </w:r>
          </w:p>
        </w:tc>
        <w:tc>
          <w:tcPr>
            <w:tcW w:type="dxa" w:w="3240"/>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PUNKT KONTROLNY</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1</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Konfiguracja księgi i okresów</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Plan kont, dzienniki, okresy i prawa.</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Dozwolone daty i role odpowiadają polityce firmy.</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2</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Ewidencja dokumentów i VAT</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Rejestracja dokumentu oraz obowiązku podatkowego.</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Wartości netto, VAT i brutto są uzgodnione.</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3</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KSeF i kontrola dokumentów</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Statusy, identyfikatory i obsługa wyjątków.</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Każdy dokument ma jednoznaczny status procesu.</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4</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Schematy księgowe</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Automatyczna dekretacja z kontrolą warunków.</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Dekret jest bilansujący i wyjaśnialny.</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5</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Rozrachunki i kompensaty</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Należności, zobowiązania i rozliczenia.</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Saldo kontrahenta ma pokrycie w dokumentach.</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6</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Kasa, bank i EWB</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Operacje pieniężne oraz import wyciągów.</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Saldo raportu jest zgodne z rachunkiem.</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7</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Deklaracje i JPK</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Kontrola źródeł danych raportowych.</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Deklaracja uzgadnia się z ewidencją i księgą.</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8</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RMK i operacje okresowe</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Rozliczenie kosztów w czasie.</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Plan rozliczeń zgadza się z dekretami.</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9</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Sprawozdania i uzgodnienia</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Bilans, RZiS i zestawienia kontrolne.</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Różnice mają opis i decyzję.</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10</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Zamknięcie miesiąca i roku</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Checklista kontroli, blokada i pakiet dowodowy.</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Okres zamknięto bez otwartych wyjątków.</w:t>
            </w:r>
          </w:p>
        </w:tc>
      </w:tr>
    </w:tbl>
    <w:p>
      <w:pPr>
        <w:pStyle w:val="Heading2"/>
      </w:pPr>
      <w:r>
        <w:t>Źródła bazowe</w:t>
      </w:r>
    </w:p>
    <w:p>
      <w:pPr>
        <w:spacing w:before="0" w:after="120" w:line="293" w:lineRule="auto"/>
      </w:pPr>
      <w:r>
        <w:rPr>
          <w:rFonts w:ascii="Aptos" w:hAnsi="Aptos"/>
          <w:b w:val="0"/>
          <w:i w:val="0"/>
          <w:color w:val="536963"/>
          <w:sz w:val="17"/>
        </w:rPr>
        <w:t>Finanse i Księgowość, s. 7–39 • Finanse i Księgowość, s. 620–650 • Finanse i Księgowość, s. 919–1006</w:t>
      </w:r>
    </w:p>
    <w:p>
      <w:pPr>
        <w:spacing w:before="0" w:after="120" w:line="293" w:lineRule="auto"/>
      </w:pPr>
      <w:r>
        <w:rPr>
          <w:rFonts w:ascii="Aptos" w:hAnsi="Aptos"/>
          <w:b/>
          <w:i w:val="0"/>
          <w:color w:val="0C5B46"/>
          <w:sz w:val="17"/>
        </w:rPr>
        <w:t>Recenzja przed publikacją: merytoryczny + podatkowy przed publikacją.</w:t>
      </w:r>
    </w:p>
    <w:p>
      <w:r>
        <w:br w:type="page"/>
      </w:r>
    </w:p>
    <w:p>
      <w:pPr>
        <w:spacing w:before="0" w:after="80" w:line="293" w:lineRule="auto"/>
      </w:pPr>
      <w:r>
        <w:rPr>
          <w:rFonts w:ascii="Aptos" w:hAnsi="Aptos"/>
          <w:b/>
          <w:i w:val="0"/>
          <w:color w:val="0C5B46"/>
          <w:sz w:val="18"/>
        </w:rPr>
        <w:t>ST-01  /  FUNKCJONALNY</w:t>
      </w:r>
    </w:p>
    <w:p>
      <w:pPr>
        <w:pStyle w:val="Heading1"/>
      </w:pPr>
      <w:r>
        <w:t>Środki trwałe</w:t>
      </w:r>
    </w:p>
    <w:p>
      <w:pPr>
        <w:spacing w:before="0" w:after="200" w:line="293" w:lineRule="auto"/>
      </w:pPr>
      <w:r>
        <w:rPr>
          <w:rFonts w:ascii="Aptos" w:hAnsi="Aptos"/>
          <w:b w:val="0"/>
          <w:i w:val="0"/>
          <w:color w:val="071B18"/>
          <w:sz w:val="22"/>
        </w:rPr>
        <w:t>Prowadzenie kartoteki środka od zakupu i OT przez amortyzację oraz zmiany wartości do inwentaryzacji, likwidacji i JPK_ST_KR.</w:t>
      </w:r>
    </w:p>
    <w:tbl>
      <w:tblPr>
        <w:tblW w:type="auto" w:w="0"/>
        <w:jc w:val="center"/>
        <w:tblLayout w:type="fixed"/>
        <w:tblLook w:firstColumn="1" w:firstRow="1" w:lastColumn="0" w:lastRow="0" w:noHBand="0" w:noVBand="1" w:val="04A0"/>
      </w:tblPr>
      <w:tblGrid>
        <w:gridCol w:w="1930"/>
        <w:gridCol w:w="1930"/>
        <w:gridCol w:w="1930"/>
        <w:gridCol w:w="1930"/>
        <w:gridCol w:w="1930"/>
      </w:tblGrid>
      <w:tr>
        <w:trPr>
          <w:tblHeader w:val="true"/>
        </w:trPr>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MODUŁY</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LEKCJE</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LAB</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QUIZ</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FILMY AI</w:t>
            </w:r>
          </w:p>
        </w:tc>
      </w:tr>
      <w:tr>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32</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16</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r>
    </w:tbl>
    <w:p>
      <w:pPr>
        <w:pStyle w:val="Heading2"/>
      </w:pPr>
      <w:r>
        <w:t>Dla kogo</w:t>
      </w:r>
    </w:p>
    <w:p>
      <w:pPr>
        <w:spacing w:before="0" w:after="120" w:line="293" w:lineRule="auto"/>
      </w:pPr>
      <w:r>
        <w:rPr>
          <w:rFonts w:ascii="Aptos" w:hAnsi="Aptos"/>
          <w:b w:val="0"/>
          <w:i w:val="0"/>
          <w:color w:val="071B18"/>
          <w:sz w:val="21"/>
        </w:rPr>
        <w:t>księgowość, administracja majątkiem, controlling i wdrożeniowcy</w:t>
      </w:r>
    </w:p>
    <w:p>
      <w:pPr>
        <w:pStyle w:val="Heading2"/>
      </w:pPr>
      <w:r>
        <w:t>Program</w:t>
      </w:r>
    </w:p>
    <w:tbl>
      <w:tblPr>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50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w:t>
            </w:r>
          </w:p>
        </w:tc>
        <w:tc>
          <w:tcPr>
            <w:tcW w:type="dxa" w:w="266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w:t>
            </w:r>
          </w:p>
        </w:tc>
        <w:tc>
          <w:tcPr>
            <w:tcW w:type="dxa" w:w="295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REZULTAT</w:t>
            </w:r>
          </w:p>
        </w:tc>
        <w:tc>
          <w:tcPr>
            <w:tcW w:type="dxa" w:w="3240"/>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PUNKT KONTROLNY</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1</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Księga inwentarzowa i kartoteki</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Podział na ŚT, WNiP i wyposażenie.</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Każdy składnik ma klasyfikację i odpowiedzialność.</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2</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Zakup, przyjęcie i OT</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Przejście od dokumentu zakupu do użytkowania.</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Wartość początkowa ma kompletne źródła.</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3</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KŚT, miejsca i osoby odpowiedzialne</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Klasyfikacja oraz lokalizacja majątku.</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Kartoteka zgadza się ze stanem organizacyjnym.</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4</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Amortyzacja bilansowa i podatkowa</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Plany, metody, stawki i odpisy.</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Plan odpisów uzgadnia się z dekretami.</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5</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Zmiany wartości i modernizacje</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Aktualizacja wartości bez utraty historii.</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Zmiana ma dokument, datę i uzasadnienie.</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6</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Likwidacja, sprzedaż i przekazanie</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Kontrolowane wycofanie składnika.</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Stan, wartość i wynik księgowy są uzgodnione.</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7</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Inwentaryzacja i kody</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Spis, różnice i rozliczenie.</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Każda różnica ma decyzję i dokument.</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8</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JPK_ST_KR, MSR i uzgodnienie księgi</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Sprawozdawczość i zgodność z kontami.</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Sumy ewidencji zgadzają się z księgą.</w:t>
            </w:r>
          </w:p>
        </w:tc>
      </w:tr>
    </w:tbl>
    <w:p>
      <w:pPr>
        <w:pStyle w:val="Heading2"/>
      </w:pPr>
      <w:r>
        <w:t>Źródła bazowe</w:t>
      </w:r>
    </w:p>
    <w:p>
      <w:pPr>
        <w:spacing w:before="0" w:after="120" w:line="293" w:lineRule="auto"/>
      </w:pPr>
      <w:r>
        <w:rPr>
          <w:rFonts w:ascii="Aptos" w:hAnsi="Aptos"/>
          <w:b w:val="0"/>
          <w:i w:val="0"/>
          <w:color w:val="536963"/>
          <w:sz w:val="17"/>
        </w:rPr>
        <w:t>Finanse i Księgowość, s. 455–519 • Finanse i Księgowość, s. 531–541</w:t>
      </w:r>
    </w:p>
    <w:p>
      <w:pPr>
        <w:spacing w:before="0" w:after="120" w:line="293" w:lineRule="auto"/>
      </w:pPr>
      <w:r>
        <w:rPr>
          <w:rFonts w:ascii="Aptos" w:hAnsi="Aptos"/>
          <w:b/>
          <w:i w:val="0"/>
          <w:color w:val="0C5B46"/>
          <w:sz w:val="17"/>
        </w:rPr>
        <w:t>Recenzja przed publikacją: merytoryczny.</w:t>
      </w:r>
    </w:p>
    <w:p>
      <w:r>
        <w:br w:type="page"/>
      </w:r>
    </w:p>
    <w:p>
      <w:pPr>
        <w:spacing w:before="0" w:after="80" w:line="293" w:lineRule="auto"/>
      </w:pPr>
      <w:r>
        <w:rPr>
          <w:rFonts w:ascii="Aptos" w:hAnsi="Aptos"/>
          <w:b/>
          <w:i w:val="0"/>
          <w:color w:val="0C5B46"/>
          <w:sz w:val="18"/>
        </w:rPr>
        <w:t>LEA-01  /  FUNKCJONALNY</w:t>
      </w:r>
    </w:p>
    <w:p>
      <w:pPr>
        <w:pStyle w:val="Heading1"/>
      </w:pPr>
      <w:r>
        <w:t>Obsługa leasingów</w:t>
      </w:r>
    </w:p>
    <w:p>
      <w:pPr>
        <w:spacing w:before="0" w:after="200" w:line="293" w:lineRule="auto"/>
      </w:pPr>
      <w:r>
        <w:rPr>
          <w:rFonts w:ascii="Aptos" w:hAnsi="Aptos"/>
          <w:b w:val="0"/>
          <w:i w:val="0"/>
          <w:color w:val="071B18"/>
          <w:sz w:val="22"/>
        </w:rPr>
        <w:t>Rejestracja umowy leasingowej według KSR, harmonogramu, rat, aneksów, limitów podatkowych, wykupu i powiązania z majątkiem.</w:t>
      </w:r>
    </w:p>
    <w:tbl>
      <w:tblPr>
        <w:tblW w:type="auto" w:w="0"/>
        <w:jc w:val="center"/>
        <w:tblLayout w:type="fixed"/>
        <w:tblLook w:firstColumn="1" w:firstRow="1" w:lastColumn="0" w:lastRow="0" w:noHBand="0" w:noVBand="1" w:val="04A0"/>
      </w:tblPr>
      <w:tblGrid>
        <w:gridCol w:w="1930"/>
        <w:gridCol w:w="1930"/>
        <w:gridCol w:w="1930"/>
        <w:gridCol w:w="1930"/>
        <w:gridCol w:w="1930"/>
      </w:tblGrid>
      <w:tr>
        <w:trPr>
          <w:tblHeader w:val="true"/>
        </w:trPr>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MODUŁY</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LEKCJE</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LAB</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QUIZ</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FILMY AI</w:t>
            </w:r>
          </w:p>
        </w:tc>
      </w:tr>
      <w:tr>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32</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16</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r>
    </w:tbl>
    <w:p>
      <w:pPr>
        <w:pStyle w:val="Heading2"/>
      </w:pPr>
      <w:r>
        <w:t>Dla kogo</w:t>
      </w:r>
    </w:p>
    <w:p>
      <w:pPr>
        <w:spacing w:before="0" w:after="120" w:line="293" w:lineRule="auto"/>
      </w:pPr>
      <w:r>
        <w:rPr>
          <w:rFonts w:ascii="Aptos" w:hAnsi="Aptos"/>
          <w:b w:val="0"/>
          <w:i w:val="0"/>
          <w:color w:val="071B18"/>
          <w:sz w:val="21"/>
        </w:rPr>
        <w:t>księgowość, controlling, zarządzający flotą i wdrożeniowcy</w:t>
      </w:r>
    </w:p>
    <w:p>
      <w:pPr>
        <w:pStyle w:val="Heading2"/>
      </w:pPr>
      <w:r>
        <w:t>Program</w:t>
      </w:r>
    </w:p>
    <w:tbl>
      <w:tblPr>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50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w:t>
            </w:r>
          </w:p>
        </w:tc>
        <w:tc>
          <w:tcPr>
            <w:tcW w:type="dxa" w:w="266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w:t>
            </w:r>
          </w:p>
        </w:tc>
        <w:tc>
          <w:tcPr>
            <w:tcW w:type="dxa" w:w="295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REZULTAT</w:t>
            </w:r>
          </w:p>
        </w:tc>
        <w:tc>
          <w:tcPr>
            <w:tcW w:type="dxa" w:w="3240"/>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PUNKT KONTROLNY</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1</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Rodzaje leasingu i polityka ujęcia</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Rozróżnienie wariantów i parametrów.</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Klasyfikacja umowy jest udokumentowana.</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2</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Umowa i dane stron</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Komplet danych, przedmiot, okres i wartości.</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Umowa przechodzi checklistę kompletności.</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3</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Harmonogram i kalkulacja</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Podział kapitału, odsetek i terminów.</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Suma harmonogramu zgadza się z umową.</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4</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Naliczanie rat i dokumenty</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Generowanie dokumentów raty.</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Rata ma powiązanie z okresem i rozrachunkiem.</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5</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VAT i limity podatkowe</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Kontrola kwalifikacji kosztów i odliczeń.</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Podział podatkowy ma podstawę i parametry.</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6</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Powiązanie ze środkiem trwałym</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Spójność umowy z ewidencją majątku.</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Przedmiot ma właściwy status i wartość.</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7</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Aneksy, wykup i zakończenie</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Zmiany harmonogramu i zamknięcie umowy.</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Historia zmian pozostaje audytowalna.</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8</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Raporty, CRU i audyt</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Kontrola zobowiązań, terminów i dokumentów.</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Saldo i harmonogram nie mają niewyjaśnionych różnic.</w:t>
            </w:r>
          </w:p>
        </w:tc>
      </w:tr>
    </w:tbl>
    <w:p>
      <w:pPr>
        <w:pStyle w:val="Heading2"/>
      </w:pPr>
      <w:r>
        <w:t>Źródła bazowe</w:t>
      </w:r>
    </w:p>
    <w:p>
      <w:pPr>
        <w:spacing w:before="0" w:after="120" w:line="293" w:lineRule="auto"/>
      </w:pPr>
      <w:r>
        <w:rPr>
          <w:rFonts w:ascii="Aptos" w:hAnsi="Aptos"/>
          <w:b w:val="0"/>
          <w:i w:val="0"/>
          <w:color w:val="536963"/>
          <w:sz w:val="17"/>
        </w:rPr>
        <w:t>Finanse i Księgowość, s. 459 • Finanse i Księgowość, s. 548–567</w:t>
      </w:r>
    </w:p>
    <w:p>
      <w:pPr>
        <w:spacing w:before="0" w:after="120" w:line="293" w:lineRule="auto"/>
      </w:pPr>
      <w:r>
        <w:rPr>
          <w:rFonts w:ascii="Aptos" w:hAnsi="Aptos"/>
          <w:b/>
          <w:i w:val="0"/>
          <w:color w:val="0C5B46"/>
          <w:sz w:val="17"/>
        </w:rPr>
        <w:t>Recenzja przed publikacją: merytoryczny + podatkowy przed publikacją.</w:t>
      </w:r>
    </w:p>
    <w:p>
      <w:r>
        <w:br w:type="page"/>
      </w:r>
    </w:p>
    <w:p>
      <w:pPr>
        <w:spacing w:before="0" w:after="80" w:line="293" w:lineRule="auto"/>
      </w:pPr>
      <w:r>
        <w:rPr>
          <w:rFonts w:ascii="Aptos" w:hAnsi="Aptos"/>
          <w:b/>
          <w:i w:val="0"/>
          <w:color w:val="0C5B46"/>
          <w:sz w:val="18"/>
        </w:rPr>
        <w:t>BR-01  /  FUNKCJONALNY</w:t>
      </w:r>
    </w:p>
    <w:p>
      <w:pPr>
        <w:pStyle w:val="Heading1"/>
      </w:pPr>
      <w:r>
        <w:t>enova365 w biurze rachunkowym</w:t>
      </w:r>
    </w:p>
    <w:p>
      <w:pPr>
        <w:spacing w:before="0" w:after="200" w:line="293" w:lineRule="auto"/>
      </w:pPr>
      <w:r>
        <w:rPr>
          <w:rFonts w:ascii="Aptos" w:hAnsi="Aptos"/>
          <w:b w:val="0"/>
          <w:i w:val="0"/>
          <w:color w:val="071B18"/>
          <w:sz w:val="22"/>
        </w:rPr>
        <w:t>Standaryzacja pracy na wielu bazach: onboarding klienta, obieg dokumentów, KSeF/OCR/DMS, kontrola miesiąca, raportowanie i bezpieczne utrzymanie.</w:t>
      </w:r>
    </w:p>
    <w:tbl>
      <w:tblPr>
        <w:tblW w:type="auto" w:w="0"/>
        <w:jc w:val="center"/>
        <w:tblLayout w:type="fixed"/>
        <w:tblLook w:firstColumn="1" w:firstRow="1" w:lastColumn="0" w:lastRow="0" w:noHBand="0" w:noVBand="1" w:val="04A0"/>
      </w:tblPr>
      <w:tblGrid>
        <w:gridCol w:w="1930"/>
        <w:gridCol w:w="1930"/>
        <w:gridCol w:w="1930"/>
        <w:gridCol w:w="1930"/>
        <w:gridCol w:w="1930"/>
      </w:tblGrid>
      <w:tr>
        <w:trPr>
          <w:tblHeader w:val="true"/>
        </w:trPr>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MODUŁY</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LEKCJE</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LAB</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QUIZ</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FILMY AI</w:t>
            </w:r>
          </w:p>
        </w:tc>
      </w:tr>
      <w:tr>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10</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40</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10</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20</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10</w:t>
            </w:r>
          </w:p>
        </w:tc>
      </w:tr>
    </w:tbl>
    <w:p>
      <w:pPr>
        <w:pStyle w:val="Heading2"/>
      </w:pPr>
      <w:r>
        <w:t>Dla kogo</w:t>
      </w:r>
    </w:p>
    <w:p>
      <w:pPr>
        <w:spacing w:before="0" w:after="120" w:line="293" w:lineRule="auto"/>
      </w:pPr>
      <w:r>
        <w:rPr>
          <w:rFonts w:ascii="Aptos" w:hAnsi="Aptos"/>
          <w:b w:val="0"/>
          <w:i w:val="0"/>
          <w:color w:val="071B18"/>
          <w:sz w:val="21"/>
        </w:rPr>
        <w:t>właściciele biur, księgowi, opiekunowie klientów i administratorzy</w:t>
      </w:r>
    </w:p>
    <w:p>
      <w:pPr>
        <w:pStyle w:val="Heading2"/>
      </w:pPr>
      <w:r>
        <w:t>Program</w:t>
      </w:r>
    </w:p>
    <w:tbl>
      <w:tblPr>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50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w:t>
            </w:r>
          </w:p>
        </w:tc>
        <w:tc>
          <w:tcPr>
            <w:tcW w:type="dxa" w:w="266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w:t>
            </w:r>
          </w:p>
        </w:tc>
        <w:tc>
          <w:tcPr>
            <w:tcW w:type="dxa" w:w="295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REZULTAT</w:t>
            </w:r>
          </w:p>
        </w:tc>
        <w:tc>
          <w:tcPr>
            <w:tcW w:type="dxa" w:w="3240"/>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PUNKT KONTROLNY</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1</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Model operacyjny biura i wiele baz</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Role, odpowiedzialność i segmentacja klientów.</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Każda baza ma właściciela i kartę konfiguracji.</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2</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Wzorcowa baza i onboarding klienta</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Powtarzalna konfiguracja startowa.</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Onboarding kończy protokół gotowości.</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3</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Import dokumentów, KSeF, OCR i DMS</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Kontrolowany kanał wejścia dokumentów.</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Dokument nie ginie między odbiorem a ewidencją.</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4</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Pulpit Klienta Biura Rachunkowego</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Samoobsługa i widoczność danych klienta.</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Uprawnienia klienta nie odsłaniają innych podmiotów.</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5</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Terminy, zadania i Workflow</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Plan pracy miesięcznej i eskalacje.</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Każde zadanie ma SLA i status.</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6</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Kontrola zamknięcia miesiąca</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Stała checklista dokumentów, VAT, księgi i rozrachunków.</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Okres zamknięto z pakietem dowodowym.</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7</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Podatki i raportowanie klienta</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Czytelny status zobowiązań i deklaracji.</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Kwoty mają źródła i akceptację.</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8</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Zbiorcze BI i obciążenie zespołu</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Monitorowanie portfela baz i terminów.</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Ryzyka są widoczne przed terminem.</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9</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Bezpieczeństwo i aktualizacje</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Prawa, kopie, testy i wersjonowanie.</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Każda zmiana ma rollback i potwierdzenie.</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10</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Incydenty i komunikacja z klientem</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Obsługa błędu bez utraty dowodów.</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Komunikat oddziela objaw od przyczyny.</w:t>
            </w:r>
          </w:p>
        </w:tc>
      </w:tr>
    </w:tbl>
    <w:p>
      <w:pPr>
        <w:pStyle w:val="Heading2"/>
      </w:pPr>
      <w:r>
        <w:t>Źródła bazowe</w:t>
      </w:r>
    </w:p>
    <w:p>
      <w:pPr>
        <w:spacing w:before="0" w:after="120" w:line="293" w:lineRule="auto"/>
      </w:pPr>
      <w:r>
        <w:rPr>
          <w:rFonts w:ascii="Aptos" w:hAnsi="Aptos"/>
          <w:b w:val="0"/>
          <w:i w:val="0"/>
          <w:color w:val="536963"/>
          <w:sz w:val="17"/>
        </w:rPr>
        <w:t>Finanse i Księgowość, s. 919–1006 • Systemowe, s. 23–64 • Systemowe, s. 425–440</w:t>
      </w:r>
    </w:p>
    <w:p>
      <w:pPr>
        <w:spacing w:before="0" w:after="120" w:line="293" w:lineRule="auto"/>
      </w:pPr>
      <w:r>
        <w:rPr>
          <w:rFonts w:ascii="Aptos" w:hAnsi="Aptos"/>
          <w:b/>
          <w:i w:val="0"/>
          <w:color w:val="0C5B46"/>
          <w:sz w:val="17"/>
        </w:rPr>
        <w:t>Recenzja przed publikacją: merytoryczny.</w:t>
      </w:r>
    </w:p>
    <w:p>
      <w:r>
        <w:br w:type="page"/>
      </w:r>
    </w:p>
    <w:p>
      <w:pPr>
        <w:spacing w:before="0" w:after="80" w:line="293" w:lineRule="auto"/>
      </w:pPr>
      <w:r>
        <w:rPr>
          <w:rFonts w:ascii="Aptos" w:hAnsi="Aptos"/>
          <w:b/>
          <w:i w:val="0"/>
          <w:color w:val="0C5B46"/>
          <w:sz w:val="18"/>
        </w:rPr>
        <w:t>ADM-01  /  TECHNICZNY</w:t>
      </w:r>
    </w:p>
    <w:p>
      <w:pPr>
        <w:pStyle w:val="Heading1"/>
      </w:pPr>
      <w:r>
        <w:t>Administrator enova365</w:t>
      </w:r>
    </w:p>
    <w:p>
      <w:pPr>
        <w:spacing w:before="0" w:after="200" w:line="293" w:lineRule="auto"/>
      </w:pPr>
      <w:r>
        <w:rPr>
          <w:rFonts w:ascii="Aptos" w:hAnsi="Aptos"/>
          <w:b w:val="0"/>
          <w:i w:val="0"/>
          <w:color w:val="071B18"/>
          <w:sz w:val="22"/>
        </w:rPr>
        <w:t>Bezpieczna instalacja, konfiguracja, aktualizacja, licencjonowanie, zarządzanie bazami i prawami oraz obsługa incydentów enova365.</w:t>
      </w:r>
    </w:p>
    <w:tbl>
      <w:tblPr>
        <w:tblW w:type="auto" w:w="0"/>
        <w:jc w:val="center"/>
        <w:tblLayout w:type="fixed"/>
        <w:tblLook w:firstColumn="1" w:firstRow="1" w:lastColumn="0" w:lastRow="0" w:noHBand="0" w:noVBand="1" w:val="04A0"/>
      </w:tblPr>
      <w:tblGrid>
        <w:gridCol w:w="1930"/>
        <w:gridCol w:w="1930"/>
        <w:gridCol w:w="1930"/>
        <w:gridCol w:w="1930"/>
        <w:gridCol w:w="1930"/>
      </w:tblGrid>
      <w:tr>
        <w:trPr>
          <w:tblHeader w:val="true"/>
        </w:trPr>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MODUŁY</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LEKCJE</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LAB</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QUIZ</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FILMY AI</w:t>
            </w:r>
          </w:p>
        </w:tc>
      </w:tr>
      <w:tr>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10</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40</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10</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20</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10</w:t>
            </w:r>
          </w:p>
        </w:tc>
      </w:tr>
    </w:tbl>
    <w:p>
      <w:pPr>
        <w:pStyle w:val="Heading2"/>
      </w:pPr>
      <w:r>
        <w:t>Dla kogo</w:t>
      </w:r>
    </w:p>
    <w:p>
      <w:pPr>
        <w:spacing w:before="0" w:after="120" w:line="293" w:lineRule="auto"/>
      </w:pPr>
      <w:r>
        <w:rPr>
          <w:rFonts w:ascii="Aptos" w:hAnsi="Aptos"/>
          <w:b w:val="0"/>
          <w:i w:val="0"/>
          <w:color w:val="071B18"/>
          <w:sz w:val="21"/>
        </w:rPr>
        <w:t>administratorzy systemów, wdrożeniowcy i druga linia wsparcia</w:t>
      </w:r>
    </w:p>
    <w:p>
      <w:pPr>
        <w:pStyle w:val="Heading2"/>
      </w:pPr>
      <w:r>
        <w:t>Program</w:t>
      </w:r>
    </w:p>
    <w:tbl>
      <w:tblPr>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50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w:t>
            </w:r>
          </w:p>
        </w:tc>
        <w:tc>
          <w:tcPr>
            <w:tcW w:type="dxa" w:w="266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w:t>
            </w:r>
          </w:p>
        </w:tc>
        <w:tc>
          <w:tcPr>
            <w:tcW w:type="dxa" w:w="295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REZULTAT</w:t>
            </w:r>
          </w:p>
        </w:tc>
        <w:tc>
          <w:tcPr>
            <w:tcW w:type="dxa" w:w="3240"/>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PUNKT KONTROLNY</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1</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Architektura 2606 i komponenty</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Rozpoznanie Desktop, WEB, serwera aplikacji i CommHub.</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Mapa komponentów wskazuje przepływy i zależności.</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2</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Instalacja i konfiguracja środowiska</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Powtarzalny setup i parametry uruchomienia.</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Środowisko przechodzi test logowania i modułów.</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3</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Bazy, master/slave i statusy</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Rejestracja oraz kontrola wielu baz.</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Każda baza ma status, wersję i właściciela.</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4</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Licencje, operatorzy, role i prawa</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Minimalny dostęp i ślad administracyjny.</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Test roli potwierdza dozwolone i zabronione działania.</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5</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Dodatki i zgodność wersji</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Kontrola rozszerzeń przed zmianą.</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Lista dodatków ma właściciela i potwierdzoną zgodność.</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6</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Aktualizacja i plan wycofania</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Test, backup, wdrożenie i rollback.</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Wersja działa po smoke teście, a rollback jest wykonalny.</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7</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Backup i odtwarzanie</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Kopie aplikacyjne i bazodanowe.</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Restore testowy potwierdza użyteczność kopii.</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8</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WEB i serwer aplikacji</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Konfiguracja komponentów i healthcheck.</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Endpointy raportują oczekiwany stan.</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9</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Diagnostyka i LogCenter</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Zbieranie logów oraz korelacja objawu.</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Pakiet incydentu zawiera czas, wersję, bazę i trace.</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10</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Runbook operacyjny i audyt</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Stałe kontrole dobowe, tygodniowe i miesięczne.</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Każda kontrola ma dowód oraz właściciela.</w:t>
            </w:r>
          </w:p>
        </w:tc>
      </w:tr>
    </w:tbl>
    <w:p>
      <w:pPr>
        <w:pStyle w:val="Heading2"/>
      </w:pPr>
      <w:r>
        <w:t>Źródła bazowe</w:t>
      </w:r>
    </w:p>
    <w:p>
      <w:pPr>
        <w:spacing w:before="0" w:after="120" w:line="293" w:lineRule="auto"/>
      </w:pPr>
      <w:r>
        <w:rPr>
          <w:rFonts w:ascii="Aptos" w:hAnsi="Aptos"/>
          <w:b w:val="0"/>
          <w:i w:val="0"/>
          <w:color w:val="536963"/>
          <w:sz w:val="17"/>
        </w:rPr>
        <w:t>Systemowe, s. 23–64 • Systemowe, s. 231–261 • Systemowe, s. 468–482 • Systemowe, s. 620–647</w:t>
      </w:r>
    </w:p>
    <w:p>
      <w:pPr>
        <w:spacing w:before="0" w:after="120" w:line="293" w:lineRule="auto"/>
      </w:pPr>
      <w:r>
        <w:rPr>
          <w:rFonts w:ascii="Aptos" w:hAnsi="Aptos"/>
          <w:b/>
          <w:i w:val="0"/>
          <w:color w:val="0C5B46"/>
          <w:sz w:val="17"/>
        </w:rPr>
        <w:t>Recenzja przed publikacją: merytoryczny.</w:t>
      </w:r>
    </w:p>
    <w:p>
      <w:r>
        <w:br w:type="page"/>
      </w:r>
    </w:p>
    <w:p>
      <w:pPr>
        <w:spacing w:before="0" w:after="80" w:line="293" w:lineRule="auto"/>
      </w:pPr>
      <w:r>
        <w:rPr>
          <w:rFonts w:ascii="Aptos" w:hAnsi="Aptos"/>
          <w:b/>
          <w:i w:val="0"/>
          <w:color w:val="0C5B46"/>
          <w:sz w:val="18"/>
        </w:rPr>
        <w:t>SQL-01  /  TECHNICZNY</w:t>
      </w:r>
    </w:p>
    <w:p>
      <w:pPr>
        <w:pStyle w:val="Heading1"/>
      </w:pPr>
      <w:r>
        <w:t>SQL Server dla enova365</w:t>
      </w:r>
    </w:p>
    <w:p>
      <w:pPr>
        <w:spacing w:before="0" w:after="200" w:line="293" w:lineRule="auto"/>
      </w:pPr>
      <w:r>
        <w:rPr>
          <w:rFonts w:ascii="Aptos" w:hAnsi="Aptos"/>
          <w:b w:val="0"/>
          <w:i w:val="0"/>
          <w:color w:val="071B18"/>
          <w:sz w:val="22"/>
        </w:rPr>
        <w:t>Utrzymanie instancji SQL dla enova365 z potwierdzonym backupem, integralnością, wydajnością, monitoringiem i planem odtwarzania.</w:t>
      </w:r>
    </w:p>
    <w:tbl>
      <w:tblPr>
        <w:tblW w:type="auto" w:w="0"/>
        <w:jc w:val="center"/>
        <w:tblLayout w:type="fixed"/>
        <w:tblLook w:firstColumn="1" w:firstRow="1" w:lastColumn="0" w:lastRow="0" w:noHBand="0" w:noVBand="1" w:val="04A0"/>
      </w:tblPr>
      <w:tblGrid>
        <w:gridCol w:w="1930"/>
        <w:gridCol w:w="1930"/>
        <w:gridCol w:w="1930"/>
        <w:gridCol w:w="1930"/>
        <w:gridCol w:w="1930"/>
      </w:tblGrid>
      <w:tr>
        <w:trPr>
          <w:tblHeader w:val="true"/>
        </w:trPr>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MODUŁY</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LEKCJE</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LAB</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QUIZ</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FILMY AI</w:t>
            </w:r>
          </w:p>
        </w:tc>
      </w:tr>
      <w:tr>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32</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16</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r>
    </w:tbl>
    <w:p>
      <w:pPr>
        <w:pStyle w:val="Heading2"/>
      </w:pPr>
      <w:r>
        <w:t>Dla kogo</w:t>
      </w:r>
    </w:p>
    <w:p>
      <w:pPr>
        <w:spacing w:before="0" w:after="120" w:line="293" w:lineRule="auto"/>
      </w:pPr>
      <w:r>
        <w:rPr>
          <w:rFonts w:ascii="Aptos" w:hAnsi="Aptos"/>
          <w:b w:val="0"/>
          <w:i w:val="0"/>
          <w:color w:val="071B18"/>
          <w:sz w:val="21"/>
        </w:rPr>
        <w:t>administratorzy SQL, administratorzy enova365 i druga linia wsparcia</w:t>
      </w:r>
    </w:p>
    <w:p>
      <w:pPr>
        <w:pStyle w:val="Heading2"/>
      </w:pPr>
      <w:r>
        <w:t>Program</w:t>
      </w:r>
    </w:p>
    <w:tbl>
      <w:tblPr>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50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w:t>
            </w:r>
          </w:p>
        </w:tc>
        <w:tc>
          <w:tcPr>
            <w:tcW w:type="dxa" w:w="266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w:t>
            </w:r>
          </w:p>
        </w:tc>
        <w:tc>
          <w:tcPr>
            <w:tcW w:type="dxa" w:w="295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REZULTAT</w:t>
            </w:r>
          </w:p>
        </w:tc>
        <w:tc>
          <w:tcPr>
            <w:tcW w:type="dxa" w:w="3240"/>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PUNKT KONTROLNY</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1</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Architektura, sizing i konfiguracja instancji</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Dobór zasobów i parametrów startowych.</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Konfiguracja ma uzasadnienie oraz baseline.</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2</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Pliki, tempdb i wzrost baz</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Kontrola pojemności i autogrowth.</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Brak ryzyka zapełnienia w horyzoncie operacyjnym.</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3</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Backup, VERIFYONLY i restore</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Łańcuch pełny, różnicowy i logów.</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Odtworzenie testowe kończy się sukcesem.</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4</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DBCC CHECKDB i integralność</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Harmonogram kontroli oraz reakcja na błędy.</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Ostatni CHECKDB ma potwierdzony wynik.</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5</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Indeksy, statystyki i plany zapytań</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Diagnostyka na podstawie dowodów.</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Zmiana poprawia plan i czas bez regresji.</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6</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Blokady, waity i timeouty</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Odtworzenie łańcucha oczekiwań.</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Źródło blokady jest wskazane przed interwencją.</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7</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SQL Agent, monitoring i alerty</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Automatyczne zadania i eskalacje.</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Nieudane zadanie generuje czytelny alert.</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8</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Bezpieczeństwo, DR i runbook</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Minimalne prawa i plan katastroficzny.</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RTO/RPO są przetestowane, nie tylko zapisane.</w:t>
            </w:r>
          </w:p>
        </w:tc>
      </w:tr>
    </w:tbl>
    <w:p>
      <w:pPr>
        <w:pStyle w:val="Heading2"/>
      </w:pPr>
      <w:r>
        <w:t>Źródła bazowe</w:t>
      </w:r>
    </w:p>
    <w:p>
      <w:pPr>
        <w:spacing w:before="0" w:after="120" w:line="293" w:lineRule="auto"/>
      </w:pPr>
      <w:r>
        <w:rPr>
          <w:rFonts w:ascii="Aptos" w:hAnsi="Aptos"/>
          <w:b w:val="0"/>
          <w:i w:val="0"/>
          <w:color w:val="536963"/>
          <w:sz w:val="17"/>
        </w:rPr>
        <w:t>Systemowe, s. 454–465 • Systemowe, s. 1115–1144</w:t>
      </w:r>
    </w:p>
    <w:p>
      <w:pPr>
        <w:spacing w:before="0" w:after="120" w:line="293" w:lineRule="auto"/>
      </w:pPr>
      <w:r>
        <w:rPr>
          <w:rFonts w:ascii="Aptos" w:hAnsi="Aptos"/>
          <w:b/>
          <w:i w:val="0"/>
          <w:color w:val="0C5B46"/>
          <w:sz w:val="17"/>
        </w:rPr>
        <w:t>Recenzja przed publikacją: merytoryczny.</w:t>
      </w:r>
    </w:p>
    <w:p>
      <w:r>
        <w:br w:type="page"/>
      </w:r>
    </w:p>
    <w:p>
      <w:pPr>
        <w:spacing w:before="0" w:after="80" w:line="293" w:lineRule="auto"/>
      </w:pPr>
      <w:r>
        <w:rPr>
          <w:rFonts w:ascii="Aptos" w:hAnsi="Aptos"/>
          <w:b/>
          <w:i w:val="0"/>
          <w:color w:val="0C5B46"/>
          <w:sz w:val="18"/>
        </w:rPr>
        <w:t>INF-01  /  TECHNICZNY</w:t>
      </w:r>
    </w:p>
    <w:p>
      <w:pPr>
        <w:pStyle w:val="Heading1"/>
      </w:pPr>
      <w:r>
        <w:t>Infrastruktura pod enova365</w:t>
      </w:r>
    </w:p>
    <w:p>
      <w:pPr>
        <w:spacing w:before="0" w:after="200" w:line="293" w:lineRule="auto"/>
      </w:pPr>
      <w:r>
        <w:rPr>
          <w:rFonts w:ascii="Aptos" w:hAnsi="Aptos"/>
          <w:b w:val="0"/>
          <w:i w:val="0"/>
          <w:color w:val="071B18"/>
          <w:sz w:val="22"/>
        </w:rPr>
        <w:t>Zaprojektowanie i utrzymanie bezpiecznej infrastruktury Desktop/WEB/API z TLS, monitoringiem, wysoką dostępnością i planem DR.</w:t>
      </w:r>
    </w:p>
    <w:tbl>
      <w:tblPr>
        <w:tblW w:type="auto" w:w="0"/>
        <w:jc w:val="center"/>
        <w:tblLayout w:type="fixed"/>
        <w:tblLook w:firstColumn="1" w:firstRow="1" w:lastColumn="0" w:lastRow="0" w:noHBand="0" w:noVBand="1" w:val="04A0"/>
      </w:tblPr>
      <w:tblGrid>
        <w:gridCol w:w="1930"/>
        <w:gridCol w:w="1930"/>
        <w:gridCol w:w="1930"/>
        <w:gridCol w:w="1930"/>
        <w:gridCol w:w="1930"/>
      </w:tblGrid>
      <w:tr>
        <w:trPr>
          <w:tblHeader w:val="true"/>
        </w:trPr>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MODUŁY</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LEKCJE</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LAB</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QUIZ</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FILMY AI</w:t>
            </w:r>
          </w:p>
        </w:tc>
      </w:tr>
      <w:tr>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32</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16</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r>
    </w:tbl>
    <w:p>
      <w:pPr>
        <w:pStyle w:val="Heading2"/>
      </w:pPr>
      <w:r>
        <w:t>Dla kogo</w:t>
      </w:r>
    </w:p>
    <w:p>
      <w:pPr>
        <w:spacing w:before="0" w:after="120" w:line="293" w:lineRule="auto"/>
      </w:pPr>
      <w:r>
        <w:rPr>
          <w:rFonts w:ascii="Aptos" w:hAnsi="Aptos"/>
          <w:b w:val="0"/>
          <w:i w:val="0"/>
          <w:color w:val="071B18"/>
          <w:sz w:val="21"/>
        </w:rPr>
        <w:t>administratorzy Windows/Linux, DevOps, architekci i partnerzy wdrożeniowi</w:t>
      </w:r>
    </w:p>
    <w:p>
      <w:pPr>
        <w:pStyle w:val="Heading2"/>
      </w:pPr>
      <w:r>
        <w:t>Program</w:t>
      </w:r>
    </w:p>
    <w:tbl>
      <w:tblPr>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50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w:t>
            </w:r>
          </w:p>
        </w:tc>
        <w:tc>
          <w:tcPr>
            <w:tcW w:type="dxa" w:w="266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w:t>
            </w:r>
          </w:p>
        </w:tc>
        <w:tc>
          <w:tcPr>
            <w:tcW w:type="dxa" w:w="295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REZULTAT</w:t>
            </w:r>
          </w:p>
        </w:tc>
        <w:tc>
          <w:tcPr>
            <w:tcW w:type="dxa" w:w="3240"/>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PUNKT KONTROLNY</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1</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Topologia i odpowiedzialność komponentów</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Podział na klienta, serwer aplikacji, SQL i usługi.</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Diagram zawiera właścicieli oraz granice sieci.</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2</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Windows, Linux i konta usługowe</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Hardening i minimalne uprawnienia.</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Usługi działają bez kont uprzywilejowanych.</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3</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DNS, certyfikaty, TLS i reverse proxy</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Bezpieczna publikacja usług.</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Łańcuch certyfikatu i nazwy są poprawne.</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4</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Serwer aplikacji, CommHub i orkiestrator</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Konfiguracja środowiska 2606 multi.</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Komponenty rejestrują się i komunikują poprawnie.</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5</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Healthcheck i monitoring</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Metryki, logi i syntetyczne testy.</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Alarm wykrywa kontrolowaną awarię.</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6</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Wydajność i testy obciążeniowe</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Baseline, scenariusz i interpretacja.</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Wynik ma parametry i próg akceptacji.</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7</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Wysoka dostępność i ciągłość</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Redundancja, kopie konfiguracji i zależności.</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Awaria pojedynczego elementu ma znaną reakcję.</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8</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Disaster Recovery i utrzymanie</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RTO, RPO, runbook oraz ćwiczenie odtworzeniowe.</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Test DR kończy się protokołem.</w:t>
            </w:r>
          </w:p>
        </w:tc>
      </w:tr>
    </w:tbl>
    <w:p>
      <w:pPr>
        <w:pStyle w:val="Heading2"/>
      </w:pPr>
      <w:r>
        <w:t>Źródła bazowe</w:t>
      </w:r>
    </w:p>
    <w:p>
      <w:pPr>
        <w:spacing w:before="0" w:after="120" w:line="293" w:lineRule="auto"/>
      </w:pPr>
      <w:r>
        <w:rPr>
          <w:rFonts w:ascii="Aptos" w:hAnsi="Aptos"/>
          <w:b w:val="0"/>
          <w:i w:val="0"/>
          <w:color w:val="536963"/>
          <w:sz w:val="17"/>
        </w:rPr>
        <w:t>Systemowe, s. 425–440 • Systemowe, s. 468–469 • Systemowe, s. 620–647 • Systemowe, s. 1115–1127</w:t>
      </w:r>
    </w:p>
    <w:p>
      <w:pPr>
        <w:spacing w:before="0" w:after="120" w:line="293" w:lineRule="auto"/>
      </w:pPr>
      <w:r>
        <w:rPr>
          <w:rFonts w:ascii="Aptos" w:hAnsi="Aptos"/>
          <w:b/>
          <w:i w:val="0"/>
          <w:color w:val="0C5B46"/>
          <w:sz w:val="17"/>
        </w:rPr>
        <w:t>Recenzja przed publikacją: merytoryczny.</w:t>
      </w:r>
    </w:p>
    <w:p>
      <w:r>
        <w:br w:type="page"/>
      </w:r>
    </w:p>
    <w:p>
      <w:pPr>
        <w:spacing w:before="0" w:after="80" w:line="293" w:lineRule="auto"/>
      </w:pPr>
      <w:r>
        <w:rPr>
          <w:rFonts w:ascii="Aptos" w:hAnsi="Aptos"/>
          <w:b/>
          <w:i w:val="0"/>
          <w:color w:val="0C5B46"/>
          <w:sz w:val="18"/>
        </w:rPr>
        <w:t>INT-01  /  TECHNICZNY</w:t>
      </w:r>
    </w:p>
    <w:p>
      <w:pPr>
        <w:pStyle w:val="Heading1"/>
      </w:pPr>
      <w:r>
        <w:t>Integracje i API enova365</w:t>
      </w:r>
    </w:p>
    <w:p>
      <w:pPr>
        <w:spacing w:before="0" w:after="200" w:line="293" w:lineRule="auto"/>
      </w:pPr>
      <w:r>
        <w:rPr>
          <w:rFonts w:ascii="Aptos" w:hAnsi="Aptos"/>
          <w:b w:val="0"/>
          <w:i w:val="0"/>
          <w:color w:val="071B18"/>
          <w:sz w:val="22"/>
        </w:rPr>
        <w:t>Projektowanie niezawodnej wymiany danych przez API, XML, Integrator i komunikaty branżowe z idempotencją, monitoringiem oraz obsługą błędów.</w:t>
      </w:r>
    </w:p>
    <w:tbl>
      <w:tblPr>
        <w:tblW w:type="auto" w:w="0"/>
        <w:jc w:val="center"/>
        <w:tblLayout w:type="fixed"/>
        <w:tblLook w:firstColumn="1" w:firstRow="1" w:lastColumn="0" w:lastRow="0" w:noHBand="0" w:noVBand="1" w:val="04A0"/>
      </w:tblPr>
      <w:tblGrid>
        <w:gridCol w:w="1930"/>
        <w:gridCol w:w="1930"/>
        <w:gridCol w:w="1930"/>
        <w:gridCol w:w="1930"/>
        <w:gridCol w:w="1930"/>
      </w:tblGrid>
      <w:tr>
        <w:trPr>
          <w:tblHeader w:val="true"/>
        </w:trPr>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MODUŁY</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LEKCJE</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LAB</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QUIZ</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FILMY AI</w:t>
            </w:r>
          </w:p>
        </w:tc>
      </w:tr>
      <w:tr>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32</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16</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8</w:t>
            </w:r>
          </w:p>
        </w:tc>
      </w:tr>
    </w:tbl>
    <w:p>
      <w:pPr>
        <w:pStyle w:val="Heading2"/>
      </w:pPr>
      <w:r>
        <w:t>Dla kogo</w:t>
      </w:r>
    </w:p>
    <w:p>
      <w:pPr>
        <w:spacing w:before="0" w:after="120" w:line="293" w:lineRule="auto"/>
      </w:pPr>
      <w:r>
        <w:rPr>
          <w:rFonts w:ascii="Aptos" w:hAnsi="Aptos"/>
          <w:b w:val="0"/>
          <w:i w:val="0"/>
          <w:color w:val="071B18"/>
          <w:sz w:val="21"/>
        </w:rPr>
        <w:t>developerzy, architekci integracji, wdrożeniowcy i administratorzy</w:t>
      </w:r>
    </w:p>
    <w:p>
      <w:pPr>
        <w:pStyle w:val="Heading2"/>
      </w:pPr>
      <w:r>
        <w:t>Program</w:t>
      </w:r>
    </w:p>
    <w:tbl>
      <w:tblPr>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50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w:t>
            </w:r>
          </w:p>
        </w:tc>
        <w:tc>
          <w:tcPr>
            <w:tcW w:type="dxa" w:w="266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w:t>
            </w:r>
          </w:p>
        </w:tc>
        <w:tc>
          <w:tcPr>
            <w:tcW w:type="dxa" w:w="295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REZULTAT</w:t>
            </w:r>
          </w:p>
        </w:tc>
        <w:tc>
          <w:tcPr>
            <w:tcW w:type="dxa" w:w="3240"/>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PUNKT KONTROLNY</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1</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Granice systemów i kontrakt danych</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Właściciel danych, kierunek i odpowiedzialność.</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Każde pole ma źródło oraz regułę walidacji.</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2</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Identyfikatory i idempotencja</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Bezpieczne ponawianie komunikatów.</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Powtórzenie nie tworzy duplikatu.</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3</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Import i eksport XML</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Struktura sesji, rekordów i logiki biznesowej.</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Import kończy raport zmian i błędów.</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4</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Integrator i EDI</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Konfiguracja mapowania i komunikatów.</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ORDER/response ma korelację i status.</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5</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WebApi i autoryzacja</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Endpointy, tokeny i minimalny zakres.</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Brak sekretów w logach oraz test negatywny dostępu.</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6</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E-commerce, kurierzy i banki</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Wzorce integracji operacyjnej.</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Status w systemach nie rozjeżdża się po błędzie.</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7</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KSeF i usługi zewnętrzne</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Asynchroniczne statusy i ponowienia.</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Dokument ma jednoznaczny stan oraz identyfikator.</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8</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Kolejki, monitoring i testy kontraktowe</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Obsługa timeoutów, retry i dead-letter.</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Awaria jest wykryta, a komunikat możliwy do wznowienia.</w:t>
            </w:r>
          </w:p>
        </w:tc>
      </w:tr>
    </w:tbl>
    <w:p>
      <w:pPr>
        <w:pStyle w:val="Heading2"/>
      </w:pPr>
      <w:r>
        <w:t>Źródła bazowe</w:t>
      </w:r>
    </w:p>
    <w:p>
      <w:pPr>
        <w:spacing w:before="0" w:after="120" w:line="293" w:lineRule="auto"/>
      </w:pPr>
      <w:r>
        <w:rPr>
          <w:rFonts w:ascii="Aptos" w:hAnsi="Aptos"/>
          <w:b w:val="0"/>
          <w:i w:val="0"/>
          <w:color w:val="536963"/>
          <w:sz w:val="17"/>
        </w:rPr>
        <w:t>Systemowe, s. 104–151 • Systemowe, s. 359–367 • Systemowe, s. 756–768 • Systemowe, s. 1166–1177</w:t>
      </w:r>
    </w:p>
    <w:p>
      <w:pPr>
        <w:spacing w:before="0" w:after="120" w:line="293" w:lineRule="auto"/>
      </w:pPr>
      <w:r>
        <w:rPr>
          <w:rFonts w:ascii="Aptos" w:hAnsi="Aptos"/>
          <w:b/>
          <w:i w:val="0"/>
          <w:color w:val="0C5B46"/>
          <w:sz w:val="17"/>
        </w:rPr>
        <w:t>Recenzja przed publikacją: merytoryczny.</w:t>
      </w:r>
    </w:p>
    <w:p>
      <w:r>
        <w:br w:type="page"/>
      </w:r>
    </w:p>
    <w:p>
      <w:pPr>
        <w:spacing w:before="0" w:after="80" w:line="293" w:lineRule="auto"/>
      </w:pPr>
      <w:r>
        <w:rPr>
          <w:rFonts w:ascii="Aptos" w:hAnsi="Aptos"/>
          <w:b/>
          <w:i w:val="0"/>
          <w:color w:val="0C5B46"/>
          <w:sz w:val="18"/>
        </w:rPr>
        <w:t>LOG-01  /  TECHNICZNY</w:t>
      </w:r>
    </w:p>
    <w:p>
      <w:pPr>
        <w:pStyle w:val="Heading1"/>
      </w:pPr>
      <w:r>
        <w:t>enova365 LogCenter w praktyce</w:t>
      </w:r>
    </w:p>
    <w:p>
      <w:pPr>
        <w:spacing w:before="0" w:after="200" w:line="293" w:lineRule="auto"/>
      </w:pPr>
      <w:r>
        <w:rPr>
          <w:rFonts w:ascii="Aptos" w:hAnsi="Aptos"/>
          <w:b w:val="0"/>
          <w:i w:val="0"/>
          <w:color w:val="071B18"/>
          <w:sz w:val="22"/>
        </w:rPr>
        <w:t>Samodzielne wdrożenie i wykorzystanie Log Center r15: od źródła logu, przez wersjonowane reguły interpretacji i korelację wielu komponentów, do bezpiecznego pakietu dowodowego i runbooku.</w:t>
      </w:r>
    </w:p>
    <w:tbl>
      <w:tblPr>
        <w:tblW w:type="auto" w:w="0"/>
        <w:jc w:val="center"/>
        <w:tblLayout w:type="fixed"/>
        <w:tblLook w:firstColumn="1" w:firstRow="1" w:lastColumn="0" w:lastRow="0" w:noHBand="0" w:noVBand="1" w:val="04A0"/>
      </w:tblPr>
      <w:tblGrid>
        <w:gridCol w:w="1930"/>
        <w:gridCol w:w="1930"/>
        <w:gridCol w:w="1930"/>
        <w:gridCol w:w="1930"/>
        <w:gridCol w:w="1930"/>
      </w:tblGrid>
      <w:tr>
        <w:trPr>
          <w:tblHeader w:val="true"/>
        </w:trPr>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MODUŁY</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LEKCJE</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LAB</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QUIZ</w:t>
            </w:r>
          </w:p>
        </w:tc>
        <w:tc>
          <w:tcPr>
            <w:tcW w:type="dxa" w:w="187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FILMY AI</w:t>
            </w:r>
          </w:p>
        </w:tc>
      </w:tr>
      <w:tr>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9</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36</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9</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18</w:t>
            </w:r>
          </w:p>
        </w:tc>
        <w:tc>
          <w:tcPr>
            <w:tcW w:type="dxa" w:w="1872"/>
            <w:vAlign w:val="center"/>
            <w:tcMar>
              <w:top w:w="80" w:type="dxa"/>
              <w:start w:w="100" w:type="dxa"/>
              <w:bottom w:w="80" w:type="dxa"/>
              <w:end w:w="100" w:type="dxa"/>
            </w:tcMar>
          </w:tcPr>
          <w:p>
            <w:pPr>
              <w:spacing w:after="0" w:line="259" w:lineRule="auto"/>
            </w:pPr>
            <w:r>
              <w:rPr>
                <w:rFonts w:ascii="Aptos" w:hAnsi="Aptos"/>
                <w:b w:val="0"/>
                <w:i w:val="0"/>
                <w:color w:val="071B18"/>
                <w:sz w:val="28"/>
              </w:rPr>
              <w:t>9</w:t>
            </w:r>
          </w:p>
        </w:tc>
      </w:tr>
    </w:tbl>
    <w:p>
      <w:pPr>
        <w:pStyle w:val="Heading2"/>
      </w:pPr>
      <w:r>
        <w:t>Dla kogo</w:t>
      </w:r>
    </w:p>
    <w:p>
      <w:pPr>
        <w:spacing w:before="0" w:after="120" w:line="293" w:lineRule="auto"/>
      </w:pPr>
      <w:r>
        <w:rPr>
          <w:rFonts w:ascii="Aptos" w:hAnsi="Aptos"/>
          <w:b w:val="0"/>
          <w:i w:val="0"/>
          <w:color w:val="071B18"/>
          <w:sz w:val="21"/>
        </w:rPr>
        <w:t>administratorzy, support L2/L3, developerzy dodatków i zespoły utrzymania</w:t>
      </w:r>
    </w:p>
    <w:p>
      <w:pPr>
        <w:pStyle w:val="Heading2"/>
      </w:pPr>
      <w:r>
        <w:t>Program</w:t>
      </w:r>
    </w:p>
    <w:tbl>
      <w:tblPr>
        <w:tblW w:type="auto" w:w="0"/>
        <w:jc w:val="center"/>
        <w:tblLayout w:type="fixed"/>
        <w:tblLook w:firstColumn="1" w:firstRow="1" w:lastColumn="0" w:lastRow="0" w:noHBand="0" w:noVBand="1" w:val="04A0"/>
      </w:tblPr>
      <w:tblGrid>
        <w:gridCol w:w="2412"/>
        <w:gridCol w:w="2412"/>
        <w:gridCol w:w="2412"/>
        <w:gridCol w:w="2412"/>
      </w:tblGrid>
      <w:tr>
        <w:trPr>
          <w:tblHeader w:val="true"/>
        </w:trPr>
        <w:tc>
          <w:tcPr>
            <w:tcW w:type="dxa" w:w="50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w:t>
            </w:r>
          </w:p>
        </w:tc>
        <w:tc>
          <w:tcPr>
            <w:tcW w:type="dxa" w:w="266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MODUŁ</w:t>
            </w:r>
          </w:p>
        </w:tc>
        <w:tc>
          <w:tcPr>
            <w:tcW w:type="dxa" w:w="295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REZULTAT</w:t>
            </w:r>
          </w:p>
        </w:tc>
        <w:tc>
          <w:tcPr>
            <w:tcW w:type="dxa" w:w="3240"/>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PUNKT KONTROLNY</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1</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Architektura i bezpieczne wdrożenie Log Center r15</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Rozróżnienie instalatora, aktualizacji, usługi Windows, konfiguracji i punktów rollbacku.</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Usługa odpowiada na /Health, a karta wdrożenia zawiera wersję, konto, port, kopię konfiguracji i SHA-256.</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2</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Źródła danych, bazy i jakość logów</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Poprawny odczyt logów Soneta, katalogu baz i ChangeInfos w modelu tylko do odczytu.</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Każde źródło ma ścieżkę, format, strefę czasu, retencję i potwierdzoną dostępność dla konta usługi.</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3</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Nawigacja, filtry i redukcja szumu</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Odtwarzalne zawężanie zdarzeń według czasu, poziomu, źródła, bazy i treści.</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Druga osoba potrafi odtworzyć ten sam wynik z zapisanych parametrów filtra.</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4</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Repozytorium opisów zdarzeń r15</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Bezpieczny import, wersjonowanie i rozwijanie reguł interpretacji bez przebudowy aplikacji.</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Repozytorium zawiera 45 aktywnych reguł r15, import przeszedł walidację, a tryb Scal/Zastąp został świadomie wybrany.</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5</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Korelacja sesji, procesów i SQL</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Budowa osi czasu łączącej WEB, Server, Router, Orchestrator, sesję, bazę i SQL.</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Hipoteza wskazuje zdarzenie pierwotne i dowody z co najmniej dwóch niezależnych źródeł.</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6</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Infrastruktura, bezpieczeństwo i WebAPI</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Rozpoznawanie Data Protection/DPAPI, konfliktów portów, Router–Server, reverse proxy i błędów WebAPI.</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Każda diagnoza wskazuje warstwę odpowiedzialności oraz bezpieczny test potwierdzający.</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7</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Błędy dodatków, ORM i zadań cyklicznych</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Diagnoza najczęstszych klas błędów dodatków bez maskowania skutków uprawnieniami lub zmianami SQL.</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Najgłębszy wyjątek, Context, SourceContext i warunki wywołania są udokumentowane.</w:t>
            </w:r>
          </w:p>
        </w:tc>
      </w:tr>
      <w:tr>
        <w:tc>
          <w:tcPr>
            <w:tcW w:type="dxa" w:w="504"/>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8</w:t>
            </w:r>
          </w:p>
        </w:tc>
        <w:tc>
          <w:tcPr>
            <w:tcW w:type="dxa" w:w="26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Pakiet dowodowy, anonimizacja i eskalacja</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Eksport materiału wystarczającego do diagnozy, bez sekretów i nadmiarowych danych klienta.</w:t>
            </w:r>
          </w:p>
        </w:tc>
        <w:tc>
          <w:tcPr>
            <w:tcW w:type="dxa" w:w="3240"/>
            <w:shd w:fill="F6F7F3"/>
            <w:vAlign w:val="center"/>
            <w:tcMar>
              <w:top w:w="80" w:type="dxa"/>
              <w:start w:w="100" w:type="dxa"/>
              <w:bottom w:w="80" w:type="dxa"/>
              <w:end w:w="100" w:type="dxa"/>
            </w:tcMar>
          </w:tcPr>
          <w:p>
            <w:pPr>
              <w:spacing w:after="0" w:line="259" w:lineRule="auto"/>
            </w:pPr>
            <w:r>
              <w:rPr>
                <w:rFonts w:ascii="Aptos" w:hAnsi="Aptos"/>
                <w:b w:val="0"/>
                <w:i w:val="0"/>
                <w:color w:val="071B18"/>
                <w:sz w:val="15"/>
              </w:rPr>
              <w:t>Pakiet przechodzi checklistę kompletności, minimalizacji danych i odtwarzalności.</w:t>
            </w:r>
          </w:p>
        </w:tc>
      </w:tr>
      <w:tr>
        <w:tc>
          <w:tcPr>
            <w:tcW w:type="dxa" w:w="504"/>
            <w:vAlign w:val="center"/>
            <w:tcMar>
              <w:top w:w="80" w:type="dxa"/>
              <w:start w:w="100" w:type="dxa"/>
              <w:bottom w:w="80" w:type="dxa"/>
              <w:end w:w="100" w:type="dxa"/>
            </w:tcMar>
          </w:tcPr>
          <w:p>
            <w:pPr>
              <w:spacing w:after="0" w:line="259" w:lineRule="auto"/>
            </w:pPr>
            <w:r>
              <w:rPr>
                <w:rFonts w:ascii="Aptos" w:hAnsi="Aptos"/>
                <w:b w:val="0"/>
                <w:i w:val="0"/>
                <w:color w:val="071B18"/>
                <w:sz w:val="15"/>
              </w:rPr>
              <w:t>9</w:t>
            </w:r>
          </w:p>
        </w:tc>
        <w:tc>
          <w:tcPr>
            <w:tcW w:type="dxa" w:w="2664"/>
            <w:vAlign w:val="center"/>
            <w:tcMar>
              <w:top w:w="80" w:type="dxa"/>
              <w:start w:w="100" w:type="dxa"/>
              <w:bottom w:w="80" w:type="dxa"/>
              <w:end w:w="100" w:type="dxa"/>
            </w:tcMar>
          </w:tcPr>
          <w:p>
            <w:pPr>
              <w:spacing w:after="0" w:line="259" w:lineRule="auto"/>
            </w:pPr>
            <w:r>
              <w:rPr>
                <w:rFonts w:ascii="Aptos" w:hAnsi="Aptos"/>
                <w:b w:val="0"/>
                <w:i w:val="0"/>
                <w:color w:val="071B18"/>
                <w:sz w:val="16"/>
              </w:rPr>
              <w:t>Utrzymanie r15, runbook i postmortem</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5"/>
              </w:rPr>
              <w:t>Kontrolowana aktualizacja repozytorium i aplikacji, monitoring jakości oraz zapobieganie nawrotom.</w:t>
            </w:r>
          </w:p>
        </w:tc>
        <w:tc>
          <w:tcPr>
            <w:tcW w:type="dxa" w:w="3240"/>
            <w:vAlign w:val="center"/>
            <w:tcMar>
              <w:top w:w="80" w:type="dxa"/>
              <w:start w:w="100" w:type="dxa"/>
              <w:bottom w:w="80" w:type="dxa"/>
              <w:end w:w="100" w:type="dxa"/>
            </w:tcMar>
          </w:tcPr>
          <w:p>
            <w:pPr>
              <w:spacing w:after="0" w:line="259" w:lineRule="auto"/>
            </w:pPr>
            <w:r>
              <w:rPr>
                <w:rFonts w:ascii="Aptos" w:hAnsi="Aptos"/>
                <w:b w:val="0"/>
                <w:i w:val="0"/>
                <w:color w:val="071B18"/>
                <w:sz w:val="15"/>
              </w:rPr>
              <w:t>Runbook obejmuje backup, wdrożenie, test danych, rollback, właściciela i kryterium zamknięcia incydentu.</w:t>
            </w:r>
          </w:p>
        </w:tc>
      </w:tr>
    </w:tbl>
    <w:p>
      <w:pPr>
        <w:pStyle w:val="Heading2"/>
      </w:pPr>
      <w:r>
        <w:t>Źródła bazowe</w:t>
      </w:r>
    </w:p>
    <w:p>
      <w:pPr>
        <w:spacing w:before="0" w:after="120" w:line="293" w:lineRule="auto"/>
      </w:pPr>
      <w:r>
        <w:rPr>
          <w:rFonts w:ascii="Aptos" w:hAnsi="Aptos"/>
          <w:b w:val="0"/>
          <w:i w:val="0"/>
          <w:color w:val="536963"/>
          <w:sz w:val="17"/>
        </w:rPr>
        <w:t>enova365 Log Center 2026.09.02-r15 — kod i pakiety produktu • ANALIZA-LOGOW-WIELU-INSTALACJI-2026-09-02.md • enova365-opisy-zdarzen-2026.09.02-r15.json — 45 reguł • Systemowe, s. 453–465 • Systemowe, s. 620–647 • Systemowe, s. 1127–1177</w:t>
      </w:r>
    </w:p>
    <w:p>
      <w:pPr>
        <w:spacing w:before="0" w:after="120" w:line="293" w:lineRule="auto"/>
      </w:pPr>
      <w:r>
        <w:rPr>
          <w:rFonts w:ascii="Aptos" w:hAnsi="Aptos"/>
          <w:b/>
          <w:i w:val="0"/>
          <w:color w:val="0C5B46"/>
          <w:sz w:val="17"/>
        </w:rPr>
        <w:t>Recenzja przed publikacją: merytoryczny + techniczny przed publikacją nagrań ekranowych.</w:t>
      </w:r>
    </w:p>
    <w:p>
      <w:pPr>
        <w:pStyle w:val="Heading1"/>
        <w:pageBreakBefore/>
      </w:pPr>
      <w:r>
        <w:t>Plan produkcji multimediów</w:t>
      </w:r>
    </w:p>
    <w:p>
      <w:pPr>
        <w:spacing w:before="0" w:after="120" w:line="293" w:lineRule="auto"/>
      </w:pPr>
      <w:r>
        <w:rPr>
          <w:rFonts w:ascii="Aptos" w:hAnsi="Aptos"/>
          <w:b w:val="0"/>
          <w:i w:val="0"/>
          <w:color w:val="071B18"/>
          <w:sz w:val="21"/>
        </w:rPr>
        <w:t>Dla każdego modułu przygotowano scenariusz 8–12 minut. Produkcja może odbywać się seryjnie: voice-over AI, nagranie rzeczywistego interfejsu, plansze kontrolne, napisy i transkrypcja. Kolejność minimalizuje ryzyko nagrywania treści, która nie przeszła testu wersji.</w:t>
      </w:r>
    </w:p>
    <w:tbl>
      <w:tblPr>
        <w:tblW w:type="auto" w:w="0"/>
        <w:jc w:val="center"/>
        <w:tblLayout w:type="fixed"/>
        <w:tblLook w:firstColumn="1" w:firstRow="1" w:lastColumn="0" w:lastRow="0" w:noHBand="0" w:noVBand="1" w:val="04A0"/>
      </w:tblPr>
      <w:tblGrid>
        <w:gridCol w:w="3216"/>
        <w:gridCol w:w="3216"/>
        <w:gridCol w:w="3216"/>
      </w:tblGrid>
      <w:tr>
        <w:trPr>
          <w:tblHeader w:val="true"/>
        </w:trPr>
        <w:tc>
          <w:tcPr>
            <w:tcW w:type="dxa" w:w="1800"/>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FAZA</w:t>
            </w:r>
          </w:p>
        </w:tc>
        <w:tc>
          <w:tcPr>
            <w:tcW w:type="dxa" w:w="4464"/>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WYJŚCIE</w:t>
            </w:r>
          </w:p>
        </w:tc>
        <w:tc>
          <w:tcPr>
            <w:tcW w:type="dxa" w:w="2952"/>
            <w:shd w:fill="0C5B46"/>
            <w:vAlign w:val="center"/>
            <w:tcMar>
              <w:top w:w="80" w:type="dxa"/>
              <w:start w:w="100" w:type="dxa"/>
              <w:bottom w:w="80" w:type="dxa"/>
              <w:end w:w="100" w:type="dxa"/>
            </w:tcMar>
          </w:tcPr>
          <w:p>
            <w:pPr>
              <w:spacing w:after="0" w:line="259" w:lineRule="auto"/>
            </w:pPr>
            <w:r>
              <w:rPr>
                <w:rFonts w:ascii="Aptos" w:hAnsi="Aptos"/>
                <w:b/>
                <w:i w:val="0"/>
                <w:color w:val="FFFFFF"/>
                <w:sz w:val="16"/>
              </w:rPr>
              <w:t>BRAMKA</w:t>
            </w:r>
          </w:p>
        </w:tc>
      </w:tr>
      <w:tr>
        <w:tc>
          <w:tcPr>
            <w:tcW w:type="dxa" w:w="1800"/>
            <w:vAlign w:val="center"/>
            <w:tcMar>
              <w:top w:w="80" w:type="dxa"/>
              <w:start w:w="100" w:type="dxa"/>
              <w:bottom w:w="80" w:type="dxa"/>
              <w:end w:w="100" w:type="dxa"/>
            </w:tcMar>
          </w:tcPr>
          <w:p>
            <w:pPr>
              <w:spacing w:after="0" w:line="259" w:lineRule="auto"/>
            </w:pPr>
            <w:r>
              <w:rPr>
                <w:rFonts w:ascii="Aptos" w:hAnsi="Aptos"/>
                <w:b w:val="0"/>
                <w:i w:val="0"/>
                <w:color w:val="071B18"/>
                <w:sz w:val="16"/>
              </w:rPr>
              <w:t>A. Walidacja</w:t>
            </w:r>
          </w:p>
        </w:tc>
        <w:tc>
          <w:tcPr>
            <w:tcW w:type="dxa" w:w="4464"/>
            <w:vAlign w:val="center"/>
            <w:tcMar>
              <w:top w:w="80" w:type="dxa"/>
              <w:start w:w="100" w:type="dxa"/>
              <w:bottom w:w="80" w:type="dxa"/>
              <w:end w:w="100" w:type="dxa"/>
            </w:tcMar>
          </w:tcPr>
          <w:p>
            <w:pPr>
              <w:spacing w:after="0" w:line="259" w:lineRule="auto"/>
            </w:pPr>
            <w:r>
              <w:rPr>
                <w:rFonts w:ascii="Aptos" w:hAnsi="Aptos"/>
                <w:b w:val="0"/>
                <w:i w:val="0"/>
                <w:color w:val="071B18"/>
                <w:sz w:val="16"/>
              </w:rPr>
              <w:t>przypadek demo + oczekiwany wynik</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6"/>
              </w:rPr>
              <w:t>recenzent potwierdza rezultat</w:t>
            </w:r>
          </w:p>
        </w:tc>
      </w:tr>
      <w:tr>
        <w:tc>
          <w:tcPr>
            <w:tcW w:type="dxa" w:w="1800"/>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B. Nagranie</w:t>
            </w:r>
          </w:p>
        </w:tc>
        <w:tc>
          <w:tcPr>
            <w:tcW w:type="dxa" w:w="44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czysty capture ekranu 1440p</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brak danych wrażliwych</w:t>
            </w:r>
          </w:p>
        </w:tc>
      </w:tr>
      <w:tr>
        <w:tc>
          <w:tcPr>
            <w:tcW w:type="dxa" w:w="1800"/>
            <w:vAlign w:val="center"/>
            <w:tcMar>
              <w:top w:w="80" w:type="dxa"/>
              <w:start w:w="100" w:type="dxa"/>
              <w:bottom w:w="80" w:type="dxa"/>
              <w:end w:w="100" w:type="dxa"/>
            </w:tcMar>
          </w:tcPr>
          <w:p>
            <w:pPr>
              <w:spacing w:after="0" w:line="259" w:lineRule="auto"/>
            </w:pPr>
            <w:r>
              <w:rPr>
                <w:rFonts w:ascii="Aptos" w:hAnsi="Aptos"/>
                <w:b w:val="0"/>
                <w:i w:val="0"/>
                <w:color w:val="071B18"/>
                <w:sz w:val="16"/>
              </w:rPr>
              <w:t>C. Narracja AI</w:t>
            </w:r>
          </w:p>
        </w:tc>
        <w:tc>
          <w:tcPr>
            <w:tcW w:type="dxa" w:w="4464"/>
            <w:vAlign w:val="center"/>
            <w:tcMar>
              <w:top w:w="80" w:type="dxa"/>
              <w:start w:w="100" w:type="dxa"/>
              <w:bottom w:w="80" w:type="dxa"/>
              <w:end w:w="100" w:type="dxa"/>
            </w:tcMar>
          </w:tcPr>
          <w:p>
            <w:pPr>
              <w:spacing w:after="0" w:line="259" w:lineRule="auto"/>
            </w:pPr>
            <w:r>
              <w:rPr>
                <w:rFonts w:ascii="Aptos" w:hAnsi="Aptos"/>
                <w:b w:val="0"/>
                <w:i w:val="0"/>
                <w:color w:val="071B18"/>
                <w:sz w:val="16"/>
              </w:rPr>
              <w:t>audio WAV/MP3 + transkrypcja</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6"/>
              </w:rPr>
              <w:t>wymowa terminów i liczb</w:t>
            </w:r>
          </w:p>
        </w:tc>
      </w:tr>
      <w:tr>
        <w:tc>
          <w:tcPr>
            <w:tcW w:type="dxa" w:w="1800"/>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D. Montaż</w:t>
            </w:r>
          </w:p>
        </w:tc>
        <w:tc>
          <w:tcPr>
            <w:tcW w:type="dxa" w:w="4464"/>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MP4 + napisy VTT/SRT</w:t>
            </w:r>
          </w:p>
        </w:tc>
        <w:tc>
          <w:tcPr>
            <w:tcW w:type="dxa" w:w="2952"/>
            <w:shd w:fill="F6F7F3"/>
            <w:vAlign w:val="center"/>
            <w:tcMar>
              <w:top w:w="80" w:type="dxa"/>
              <w:start w:w="100" w:type="dxa"/>
              <w:bottom w:w="80" w:type="dxa"/>
              <w:end w:w="100" w:type="dxa"/>
            </w:tcMar>
          </w:tcPr>
          <w:p>
            <w:pPr>
              <w:spacing w:after="0" w:line="259" w:lineRule="auto"/>
            </w:pPr>
            <w:r>
              <w:rPr>
                <w:rFonts w:ascii="Aptos" w:hAnsi="Aptos"/>
                <w:b w:val="0"/>
                <w:i w:val="0"/>
                <w:color w:val="071B18"/>
                <w:sz w:val="16"/>
              </w:rPr>
              <w:t>czytelność na desktop i mobile</w:t>
            </w:r>
          </w:p>
        </w:tc>
      </w:tr>
      <w:tr>
        <w:tc>
          <w:tcPr>
            <w:tcW w:type="dxa" w:w="1800"/>
            <w:vAlign w:val="center"/>
            <w:tcMar>
              <w:top w:w="80" w:type="dxa"/>
              <w:start w:w="100" w:type="dxa"/>
              <w:bottom w:w="80" w:type="dxa"/>
              <w:end w:w="100" w:type="dxa"/>
            </w:tcMar>
          </w:tcPr>
          <w:p>
            <w:pPr>
              <w:spacing w:after="0" w:line="259" w:lineRule="auto"/>
            </w:pPr>
            <w:r>
              <w:rPr>
                <w:rFonts w:ascii="Aptos" w:hAnsi="Aptos"/>
                <w:b w:val="0"/>
                <w:i w:val="0"/>
                <w:color w:val="071B18"/>
                <w:sz w:val="16"/>
              </w:rPr>
              <w:t>E. Publikacja</w:t>
            </w:r>
          </w:p>
        </w:tc>
        <w:tc>
          <w:tcPr>
            <w:tcW w:type="dxa" w:w="4464"/>
            <w:vAlign w:val="center"/>
            <w:tcMar>
              <w:top w:w="80" w:type="dxa"/>
              <w:start w:w="100" w:type="dxa"/>
              <w:bottom w:w="80" w:type="dxa"/>
              <w:end w:w="100" w:type="dxa"/>
            </w:tcMar>
          </w:tcPr>
          <w:p>
            <w:pPr>
              <w:spacing w:after="0" w:line="259" w:lineRule="auto"/>
            </w:pPr>
            <w:r>
              <w:rPr>
                <w:rFonts w:ascii="Aptos" w:hAnsi="Aptos"/>
                <w:b w:val="0"/>
                <w:i w:val="0"/>
                <w:color w:val="071B18"/>
                <w:sz w:val="16"/>
              </w:rPr>
              <w:t>lekcja, quiz i pliki</w:t>
            </w:r>
          </w:p>
        </w:tc>
        <w:tc>
          <w:tcPr>
            <w:tcW w:type="dxa" w:w="2952"/>
            <w:vAlign w:val="center"/>
            <w:tcMar>
              <w:top w:w="80" w:type="dxa"/>
              <w:start w:w="100" w:type="dxa"/>
              <w:bottom w:w="80" w:type="dxa"/>
              <w:end w:w="100" w:type="dxa"/>
            </w:tcMar>
          </w:tcPr>
          <w:p>
            <w:pPr>
              <w:spacing w:after="0" w:line="259" w:lineRule="auto"/>
            </w:pPr>
            <w:r>
              <w:rPr>
                <w:rFonts w:ascii="Aptos" w:hAnsi="Aptos"/>
                <w:b w:val="0"/>
                <w:i w:val="0"/>
                <w:color w:val="071B18"/>
                <w:sz w:val="16"/>
              </w:rPr>
              <w:t>wersja, źródła, data przeglądu</w:t>
            </w:r>
          </w:p>
        </w:tc>
      </w:tr>
    </w:tbl>
    <w:p>
      <w:pPr>
        <w:pStyle w:val="Heading2"/>
      </w:pPr>
      <w:r>
        <w:t>Struktura pakietu każdego kursu</w:t>
      </w:r>
    </w:p>
    <w:p>
      <w:pPr>
        <w:pStyle w:val="ListBullet"/>
      </w:pPr>
      <w:r>
        <w:rPr>
          <w:rFonts w:ascii="Aptos" w:hAnsi="Aptos"/>
          <w:b w:val="0"/>
          <w:i w:val="0"/>
          <w:color w:val="071B18"/>
          <w:sz w:val="20"/>
        </w:rPr>
        <w:t>00_PROGRAM_KURSU.md — cele, moduły, 32–40 lekcji i egzamin</w:t>
      </w:r>
    </w:p>
    <w:p>
      <w:pPr>
        <w:pStyle w:val="ListBullet"/>
      </w:pPr>
      <w:r>
        <w:rPr>
          <w:rFonts w:ascii="Aptos" w:hAnsi="Aptos"/>
          <w:b w:val="0"/>
          <w:i w:val="0"/>
          <w:color w:val="071B18"/>
          <w:sz w:val="20"/>
        </w:rPr>
        <w:t>01_SCENARIUSZE_FILMOW_AI.md — narracja, kadry, demo, wyjątek i plansze</w:t>
      </w:r>
    </w:p>
    <w:p>
      <w:pPr>
        <w:pStyle w:val="ListBullet"/>
      </w:pPr>
      <w:r>
        <w:rPr>
          <w:rFonts w:ascii="Aptos" w:hAnsi="Aptos"/>
          <w:b w:val="0"/>
          <w:i w:val="0"/>
          <w:color w:val="071B18"/>
          <w:sz w:val="20"/>
        </w:rPr>
        <w:t>02_LABORATORIA.md — zadania, kroki, kryterium i dowody</w:t>
      </w:r>
    </w:p>
    <w:p>
      <w:pPr>
        <w:pStyle w:val="ListBullet"/>
      </w:pPr>
      <w:r>
        <w:rPr>
          <w:rFonts w:ascii="Aptos" w:hAnsi="Aptos"/>
          <w:b w:val="0"/>
          <w:i w:val="0"/>
          <w:color w:val="071B18"/>
          <w:sz w:val="20"/>
        </w:rPr>
        <w:t>03_QUIZY_I_EGZAMIN.md — odpowiedzi i uzasadnienia dla prowadzącego</w:t>
      </w:r>
    </w:p>
    <w:p>
      <w:pPr>
        <w:pStyle w:val="ListBullet"/>
      </w:pPr>
      <w:r>
        <w:rPr>
          <w:rFonts w:ascii="Aptos" w:hAnsi="Aptos"/>
          <w:b w:val="0"/>
          <w:i w:val="0"/>
          <w:color w:val="071B18"/>
          <w:sz w:val="20"/>
        </w:rPr>
        <w:t>04_ZRODLA_I_WERSJONOWANIE.md — dokumentacja bazowa i bramki publikacji</w:t>
      </w:r>
    </w:p>
    <w:p>
      <w:pPr>
        <w:pStyle w:val="ListBullet"/>
      </w:pPr>
      <w:r>
        <w:rPr>
          <w:rFonts w:ascii="Aptos" w:hAnsi="Aptos"/>
          <w:b w:val="0"/>
          <w:i w:val="0"/>
          <w:color w:val="071B18"/>
          <w:sz w:val="20"/>
        </w:rPr>
        <w:t>manifest.json — dane do portalu/LMS i automatyzacji produkcji</w:t>
      </w:r>
    </w:p>
    <w:p>
      <w:r>
        <w:br w:type="page"/>
      </w:r>
    </w:p>
    <w:p>
      <w:pPr>
        <w:pStyle w:val="Heading1"/>
      </w:pPr>
      <w:r>
        <w:t>Nota prawna i jakościowa</w:t>
      </w:r>
    </w:p>
    <w:p>
      <w:pPr>
        <w:spacing w:before="0" w:after="120" w:line="293" w:lineRule="auto"/>
      </w:pPr>
      <w:r>
        <w:rPr>
          <w:rFonts w:ascii="Aptos" w:hAnsi="Aptos"/>
          <w:b w:val="0"/>
          <w:i w:val="0"/>
          <w:color w:val="071B18"/>
          <w:sz w:val="21"/>
        </w:rPr>
        <w:t>ERPologia jest niezależnym projektem edukacyjnym i nie jest oficjalną akademią producenta enova365. Nazwa enova365 opisuje tematykę materiałów. Materiały nie zastępują indywidualnej porady prawnej, podatkowej ani decyzji księgowej. Przed wdrożeniem zmian na produkcji należy wykonać kopię, test oraz plan wycofania.</w:t>
      </w:r>
    </w:p>
    <w:tbl>
      <w:tblPr>
        <w:tblW w:type="auto" w:w="0"/>
        <w:jc w:val="center"/>
        <w:tblLayout w:type="fixed"/>
        <w:tblLook w:firstColumn="1" w:firstRow="1" w:lastColumn="0" w:lastRow="0" w:noHBand="0" w:noVBand="1" w:val="04A0"/>
      </w:tblPr>
      <w:tblGrid>
        <w:gridCol w:w="9648"/>
      </w:tblGrid>
      <w:tr>
        <w:tc>
          <w:tcPr>
            <w:tcW w:type="dxa" w:w="9360"/>
            <w:shd w:fill="FFF4D6"/>
            <w:tcMar>
              <w:top w:w="150" w:type="dxa"/>
              <w:start w:w="180" w:type="dxa"/>
              <w:bottom w:w="150" w:type="dxa"/>
              <w:end w:w="180" w:type="dxa"/>
            </w:tcMar>
          </w:tcPr>
          <w:p>
            <w:pPr>
              <w:spacing w:after="80"/>
            </w:pPr>
            <w:r>
              <w:rPr>
                <w:rFonts w:ascii="Aptos" w:hAnsi="Aptos"/>
                <w:b/>
                <w:i w:val="0"/>
                <w:color w:val="0C5B46"/>
                <w:sz w:val="17"/>
              </w:rPr>
              <w:t>ZASADA KOŃCOWA</w:t>
            </w:r>
          </w:p>
          <w:p>
            <w:pPr>
              <w:spacing w:after="0" w:line="283" w:lineRule="auto"/>
            </w:pPr>
            <w:r>
              <w:rPr>
                <w:rFonts w:ascii="Aptos" w:hAnsi="Aptos"/>
                <w:b w:val="0"/>
                <w:i w:val="0"/>
                <w:color w:val="071B18"/>
                <w:sz w:val="20"/>
              </w:rPr>
              <w:t>AI może przygotować narrację, slajdy, napisy i montaż. Poprawność operacji i wyniku enova365 musi zostać potwierdzona na kontrolowanym środowisku przez osobę kompetentną w danym obszarze.</w:t>
            </w:r>
          </w:p>
        </w:tc>
      </w:tr>
    </w:tbl>
    <w:p>
      <w:pPr>
        <w:spacing w:before="0" w:after="40" w:line="293" w:lineRule="auto"/>
      </w:pPr>
      <w:r>
        <w:rPr>
          <w:rFonts w:ascii="Aptos" w:hAnsi="Aptos"/>
          <w:b w:val="0"/>
          <w:i w:val="0"/>
          <w:color w:val="071B18"/>
          <w:sz w:val="21"/>
        </w:rPr>
      </w:r>
    </w:p>
    <w:sectPr w:rsidR="00FC693F" w:rsidRPr="0006063C" w:rsidSect="00034616">
      <w:headerReference w:type="default" r:id="rId9"/>
      <w:footerReference w:type="default" r:id="rId10"/>
      <w:pgSz w:w="12240" w:h="15840"/>
      <w:pgMar w:top="1224" w:right="1296" w:bottom="1080" w:left="1296" w:header="547" w:footer="54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b w:val="0"/>
        <w:i w:val="0"/>
        <w:color w:val="536963"/>
        <w:sz w:val="16"/>
      </w:rPr>
      <w:t xml:space="preserve">Baseline 2606.1.2  •  </w:t>
    </w:r>
    <w:r>
      <w:fldChar w:fldCharType="begin"/>
      <w:instrText xml:space="preserve">PAGE</w:instrText>
      <w:fldChar w:fldCharType="end"/>
    </w:r>
    <w:r>
      <w:rPr>
        <w:rFonts w:ascii="Aptos" w:hAnsi="Aptos"/>
        <w:b w:val="0"/>
        <w:i w:val="0"/>
        <w:color w:val="536963"/>
        <w:sz w:val="16"/>
      </w:rP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rFonts w:ascii="Aptos" w:hAnsi="Aptos"/>
        <w:b/>
        <w:i w:val="0"/>
        <w:color w:val="536963"/>
        <w:sz w:val="17"/>
      </w:rPr>
      <w:t>ERPOLOGIA  /  AKADEMIA ENOVA365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93" w:lineRule="auto"/>
    </w:pPr>
    <w:rPr>
      <w:rFonts w:ascii="Aptos" w:hAnsi="Aptos"/>
      <w:color w:val="071B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80"/>
      <w:outlineLvl w:val="0"/>
    </w:pPr>
    <w:rPr>
      <w:rFonts w:asciiTheme="majorHAnsi" w:eastAsiaTheme="majorEastAsia" w:hAnsiTheme="majorHAnsi" w:cstheme="majorBidi" w:ascii="Aptos Display" w:hAnsi="Aptos Display"/>
      <w:b/>
      <w:bCs/>
      <w:color w:val="0C5B46"/>
      <w:sz w:val="3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w:hAnsi="Aptos"/>
      <w:b/>
      <w:bCs/>
      <w:color w:val="0C5B46"/>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071B18"/>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071B18"/>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80"/>
    </w:pPr>
    <w:rPr>
      <w:rFonts w:asciiTheme="majorHAnsi" w:eastAsiaTheme="majorEastAsia" w:hAnsiTheme="majorHAnsi" w:cstheme="majorBidi" w:ascii="Aptos" w:hAnsi="Aptos"/>
      <w:b w:val="0"/>
      <w:i/>
      <w:iCs/>
      <w:color w:val="0C5B46"/>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Akademia ERPologia — katalog kursów i standard produkcyjny</dc:title>
  <dc:subject>14 kursów enova365, baseline 2606.1.2</dc:subject>
  <dc:creator>ERPologia / AX-ERP sp. z o.o.</dc:creator>
  <cp:keywords>enova365, ERPologia, szkolenia, kursy, AI</cp:keywords>
  <dc:description>generated by python-docx</dc:description>
  <cp:lastModifiedBy/>
  <cp:revision>1</cp:revision>
  <dcterms:created xsi:type="dcterms:W3CDTF">2013-12-23T23:15:00Z</dcterms:created>
  <dcterms:modified xsi:type="dcterms:W3CDTF">2013-12-23T23:15:00Z</dcterms:modified>
  <cp:category/>
</cp:coreProperties>
</file>